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325" w:rsidRPr="004C35D5" w:rsidRDefault="002D7325" w:rsidP="00EE61C4">
      <w:pPr>
        <w:ind w:left="720" w:hanging="360"/>
        <w:jc w:val="center"/>
        <w:rPr>
          <w:rFonts w:asciiTheme="minorHAnsi" w:hAnsiTheme="minorHAnsi" w:cstheme="minorHAnsi"/>
          <w:sz w:val="24"/>
          <w:szCs w:val="24"/>
        </w:rPr>
      </w:pPr>
    </w:p>
    <w:p w:rsidR="00CF12AE" w:rsidRPr="004C35D5" w:rsidRDefault="00CF12AE" w:rsidP="00CF12AE">
      <w:pPr>
        <w:pStyle w:val="NoSpacing"/>
        <w:ind w:left="720" w:hanging="360"/>
        <w:jc w:val="center"/>
        <w:rPr>
          <w:rFonts w:asciiTheme="minorHAnsi" w:hAnsiTheme="minorHAnsi" w:cstheme="minorHAnsi"/>
          <w:b/>
          <w:caps/>
          <w:sz w:val="24"/>
          <w:szCs w:val="24"/>
        </w:rPr>
      </w:pPr>
      <w:r w:rsidRPr="004C35D5">
        <w:rPr>
          <w:rFonts w:asciiTheme="minorHAnsi" w:hAnsiTheme="minorHAnsi" w:cstheme="minorHAnsi"/>
          <w:b/>
          <w:caps/>
          <w:sz w:val="24"/>
          <w:szCs w:val="24"/>
        </w:rPr>
        <w:t>Department of Human Resources</w:t>
      </w:r>
    </w:p>
    <w:p w:rsidR="00CF12AE" w:rsidRPr="004C35D5" w:rsidRDefault="00CF12AE" w:rsidP="00CF12AE">
      <w:pPr>
        <w:pStyle w:val="NoSpacing"/>
        <w:ind w:left="720" w:hanging="360"/>
        <w:jc w:val="center"/>
        <w:rPr>
          <w:rFonts w:asciiTheme="minorHAnsi" w:hAnsiTheme="minorHAnsi" w:cstheme="minorHAnsi"/>
          <w:b/>
          <w:sz w:val="24"/>
          <w:szCs w:val="24"/>
        </w:rPr>
      </w:pPr>
      <w:r w:rsidRPr="004C35D5">
        <w:rPr>
          <w:rFonts w:asciiTheme="minorHAnsi" w:hAnsiTheme="minorHAnsi" w:cstheme="minorHAnsi"/>
          <w:b/>
          <w:sz w:val="24"/>
          <w:szCs w:val="24"/>
        </w:rPr>
        <w:t>Request for Proposals for</w:t>
      </w:r>
    </w:p>
    <w:p w:rsidR="00CF12AE" w:rsidRPr="004C35D5" w:rsidRDefault="00CF12AE" w:rsidP="00CF12AE">
      <w:pPr>
        <w:suppressAutoHyphens/>
        <w:ind w:left="720" w:hanging="360"/>
        <w:jc w:val="center"/>
        <w:rPr>
          <w:rFonts w:asciiTheme="minorHAnsi" w:hAnsiTheme="minorHAnsi" w:cstheme="minorHAnsi"/>
          <w:b/>
          <w:sz w:val="24"/>
          <w:szCs w:val="24"/>
        </w:rPr>
      </w:pPr>
      <w:r w:rsidRPr="004C35D5">
        <w:rPr>
          <w:rFonts w:asciiTheme="minorHAnsi" w:hAnsiTheme="minorHAnsi" w:cstheme="minorHAnsi"/>
          <w:b/>
          <w:sz w:val="24"/>
          <w:szCs w:val="24"/>
        </w:rPr>
        <w:t>State Disbursement Unit Services</w:t>
      </w:r>
    </w:p>
    <w:p w:rsidR="00CF12AE" w:rsidRPr="004C35D5" w:rsidRDefault="00CF12AE" w:rsidP="00CF12AE">
      <w:pPr>
        <w:pStyle w:val="NoSpacing"/>
        <w:ind w:left="720" w:hanging="360"/>
        <w:jc w:val="center"/>
        <w:rPr>
          <w:rFonts w:asciiTheme="minorHAnsi" w:hAnsiTheme="minorHAnsi" w:cstheme="minorHAnsi"/>
          <w:b/>
          <w:sz w:val="24"/>
          <w:szCs w:val="24"/>
        </w:rPr>
      </w:pPr>
      <w:r w:rsidRPr="004C35D5">
        <w:rPr>
          <w:rFonts w:asciiTheme="minorHAnsi" w:hAnsiTheme="minorHAnsi" w:cstheme="minorHAnsi"/>
          <w:b/>
          <w:sz w:val="24"/>
          <w:szCs w:val="24"/>
        </w:rPr>
        <w:t>CSEA/SDU/14-001-S</w:t>
      </w:r>
    </w:p>
    <w:p w:rsidR="00CF12AE" w:rsidRPr="004C35D5" w:rsidRDefault="00CF12AE" w:rsidP="00CF12AE">
      <w:pPr>
        <w:pStyle w:val="NoSpacing"/>
        <w:ind w:left="720" w:hanging="360"/>
        <w:jc w:val="center"/>
        <w:rPr>
          <w:rFonts w:asciiTheme="minorHAnsi" w:hAnsiTheme="minorHAnsi" w:cstheme="minorHAnsi"/>
          <w:b/>
          <w:sz w:val="24"/>
          <w:szCs w:val="24"/>
        </w:rPr>
      </w:pPr>
    </w:p>
    <w:p w:rsidR="00CF12AE" w:rsidRPr="004C35D5" w:rsidRDefault="00CF12AE" w:rsidP="00CF12AE">
      <w:pPr>
        <w:pStyle w:val="NoSpacing"/>
        <w:ind w:left="720" w:hanging="360"/>
        <w:jc w:val="center"/>
        <w:rPr>
          <w:rFonts w:asciiTheme="minorHAnsi" w:hAnsiTheme="minorHAnsi" w:cstheme="minorHAnsi"/>
          <w:b/>
          <w:sz w:val="24"/>
          <w:szCs w:val="24"/>
        </w:rPr>
      </w:pPr>
      <w:r w:rsidRPr="004C35D5">
        <w:rPr>
          <w:rFonts w:asciiTheme="minorHAnsi" w:hAnsiTheme="minorHAnsi" w:cstheme="minorHAnsi"/>
          <w:b/>
          <w:sz w:val="24"/>
          <w:szCs w:val="24"/>
        </w:rPr>
        <w:t>Q</w:t>
      </w:r>
      <w:r w:rsidR="00B10BB0" w:rsidRPr="004C35D5">
        <w:rPr>
          <w:rFonts w:asciiTheme="minorHAnsi" w:hAnsiTheme="minorHAnsi" w:cstheme="minorHAnsi"/>
          <w:b/>
          <w:sz w:val="24"/>
          <w:szCs w:val="24"/>
        </w:rPr>
        <w:t>UESTIONS AND RESPONSES SERIES #2</w:t>
      </w:r>
    </w:p>
    <w:p w:rsidR="00CF12AE" w:rsidRPr="004C35D5" w:rsidRDefault="00CF12AE" w:rsidP="00CF12AE">
      <w:pPr>
        <w:pStyle w:val="NoSpacing"/>
        <w:ind w:left="720"/>
        <w:rPr>
          <w:rFonts w:asciiTheme="minorHAnsi" w:hAnsiTheme="minorHAnsi" w:cstheme="minorHAnsi"/>
          <w:b/>
          <w:sz w:val="24"/>
          <w:szCs w:val="24"/>
        </w:rPr>
      </w:pPr>
    </w:p>
    <w:p w:rsidR="00CF12AE" w:rsidRPr="004C35D5" w:rsidRDefault="00CF12AE" w:rsidP="00CF12AE">
      <w:pPr>
        <w:pStyle w:val="NoSpacing"/>
        <w:ind w:left="720"/>
        <w:rPr>
          <w:rFonts w:asciiTheme="minorHAnsi" w:hAnsiTheme="minorHAnsi" w:cstheme="minorHAnsi"/>
          <w:b/>
          <w:sz w:val="24"/>
          <w:szCs w:val="24"/>
        </w:rPr>
      </w:pPr>
    </w:p>
    <w:p w:rsidR="00CF12AE" w:rsidRPr="004C35D5" w:rsidRDefault="00CF12AE" w:rsidP="00CF12AE">
      <w:pPr>
        <w:numPr>
          <w:ilvl w:val="0"/>
          <w:numId w:val="2"/>
        </w:numPr>
        <w:spacing w:before="100" w:beforeAutospacing="1" w:after="100" w:afterAutospacing="1" w:line="240" w:lineRule="auto"/>
        <w:ind w:left="1440" w:hanging="720"/>
        <w:contextualSpacing/>
        <w:rPr>
          <w:rFonts w:asciiTheme="minorHAnsi" w:eastAsia="Times New Roman" w:hAnsiTheme="minorHAnsi" w:cstheme="minorHAnsi"/>
          <w:sz w:val="24"/>
          <w:szCs w:val="24"/>
        </w:rPr>
      </w:pPr>
      <w:r w:rsidRPr="004C35D5">
        <w:rPr>
          <w:rFonts w:asciiTheme="minorHAnsi" w:eastAsia="Times New Roman" w:hAnsiTheme="minorHAnsi" w:cstheme="minorHAnsi"/>
          <w:b/>
          <w:sz w:val="24"/>
          <w:szCs w:val="24"/>
          <w:u w:val="single"/>
        </w:rPr>
        <w:t>Question</w:t>
      </w:r>
      <w:r w:rsidRPr="004C35D5">
        <w:rPr>
          <w:rFonts w:asciiTheme="minorHAnsi" w:eastAsia="Times New Roman" w:hAnsiTheme="minorHAnsi" w:cstheme="minorHAnsi"/>
          <w:sz w:val="24"/>
          <w:szCs w:val="24"/>
        </w:rPr>
        <w:t>:</w:t>
      </w:r>
      <w:r w:rsidRPr="004C35D5">
        <w:rPr>
          <w:rFonts w:asciiTheme="minorHAnsi" w:eastAsia="Times New Roman" w:hAnsiTheme="minorHAnsi" w:cstheme="minorHAnsi"/>
          <w:sz w:val="24"/>
          <w:szCs w:val="24"/>
        </w:rPr>
        <w:tab/>
        <w:t xml:space="preserve">After the Transition-In period, will the state provide a regular payor file (or </w:t>
      </w:r>
      <w:r w:rsidRPr="004C35D5">
        <w:rPr>
          <w:rFonts w:asciiTheme="minorHAnsi" w:eastAsia="Times New Roman" w:hAnsiTheme="minorHAnsi" w:cstheme="minorHAnsi"/>
          <w:sz w:val="24"/>
          <w:szCs w:val="24"/>
        </w:rPr>
        <w:tab/>
      </w:r>
      <w:r w:rsidRPr="004C35D5">
        <w:rPr>
          <w:rFonts w:asciiTheme="minorHAnsi" w:eastAsia="Times New Roman" w:hAnsiTheme="minorHAnsi" w:cstheme="minorHAnsi"/>
          <w:sz w:val="24"/>
          <w:szCs w:val="24"/>
        </w:rPr>
        <w:tab/>
      </w:r>
      <w:r w:rsidRPr="004C35D5">
        <w:rPr>
          <w:rFonts w:asciiTheme="minorHAnsi" w:eastAsia="Times New Roman" w:hAnsiTheme="minorHAnsi" w:cstheme="minorHAnsi"/>
          <w:sz w:val="24"/>
          <w:szCs w:val="24"/>
        </w:rPr>
        <w:tab/>
        <w:t xml:space="preserve">validation file) after the transition-in period? If so, how often will the file be </w:t>
      </w:r>
      <w:r w:rsidRPr="004C35D5">
        <w:rPr>
          <w:rFonts w:asciiTheme="minorHAnsi" w:eastAsia="Times New Roman" w:hAnsiTheme="minorHAnsi" w:cstheme="minorHAnsi"/>
          <w:sz w:val="24"/>
          <w:szCs w:val="24"/>
        </w:rPr>
        <w:tab/>
      </w:r>
      <w:r w:rsidRPr="004C35D5">
        <w:rPr>
          <w:rFonts w:asciiTheme="minorHAnsi" w:eastAsia="Times New Roman" w:hAnsiTheme="minorHAnsi" w:cstheme="minorHAnsi"/>
          <w:sz w:val="24"/>
          <w:szCs w:val="24"/>
        </w:rPr>
        <w:tab/>
      </w:r>
      <w:r w:rsidRPr="004C35D5">
        <w:rPr>
          <w:rFonts w:asciiTheme="minorHAnsi" w:eastAsia="Times New Roman" w:hAnsiTheme="minorHAnsi" w:cstheme="minorHAnsi"/>
          <w:sz w:val="24"/>
          <w:szCs w:val="24"/>
        </w:rPr>
        <w:tab/>
        <w:t xml:space="preserve">provided? Is the file layout the same as found in Attachment R? (RFP Section </w:t>
      </w:r>
      <w:r w:rsidRPr="004C35D5">
        <w:rPr>
          <w:rFonts w:asciiTheme="minorHAnsi" w:eastAsia="Times New Roman" w:hAnsiTheme="minorHAnsi" w:cstheme="minorHAnsi"/>
          <w:sz w:val="24"/>
          <w:szCs w:val="24"/>
        </w:rPr>
        <w:tab/>
      </w:r>
      <w:r w:rsidRPr="004C35D5">
        <w:rPr>
          <w:rFonts w:asciiTheme="minorHAnsi" w:eastAsia="Times New Roman" w:hAnsiTheme="minorHAnsi" w:cstheme="minorHAnsi"/>
          <w:sz w:val="24"/>
          <w:szCs w:val="24"/>
        </w:rPr>
        <w:tab/>
      </w:r>
      <w:r w:rsidRPr="004C35D5">
        <w:rPr>
          <w:rFonts w:asciiTheme="minorHAnsi" w:eastAsia="Times New Roman" w:hAnsiTheme="minorHAnsi" w:cstheme="minorHAnsi"/>
          <w:sz w:val="24"/>
          <w:szCs w:val="24"/>
        </w:rPr>
        <w:tab/>
        <w:t>3.3C – State Supplied Services)</w:t>
      </w:r>
    </w:p>
    <w:p w:rsidR="00CF12AE" w:rsidRPr="004C35D5" w:rsidRDefault="00CF12AE" w:rsidP="00CF12AE">
      <w:pPr>
        <w:spacing w:before="100" w:beforeAutospacing="1" w:after="100" w:afterAutospacing="1" w:line="240" w:lineRule="auto"/>
        <w:ind w:left="1440"/>
        <w:contextualSpacing/>
        <w:rPr>
          <w:rFonts w:asciiTheme="minorHAnsi" w:eastAsia="Times New Roman" w:hAnsiTheme="minorHAnsi" w:cstheme="minorHAnsi"/>
          <w:sz w:val="24"/>
          <w:szCs w:val="24"/>
        </w:rPr>
      </w:pPr>
    </w:p>
    <w:p w:rsidR="00CF12AE" w:rsidRPr="004C35D5" w:rsidRDefault="00CF12AE" w:rsidP="00CF12AE">
      <w:pPr>
        <w:spacing w:before="100" w:beforeAutospacing="1" w:after="100" w:afterAutospacing="1" w:line="240" w:lineRule="auto"/>
        <w:ind w:left="2880" w:hanging="1440"/>
        <w:rPr>
          <w:rFonts w:asciiTheme="minorHAnsi" w:eastAsia="Times New Roman" w:hAnsiTheme="minorHAnsi" w:cstheme="minorHAnsi"/>
          <w:b/>
          <w:sz w:val="24"/>
          <w:szCs w:val="24"/>
        </w:rPr>
      </w:pPr>
      <w:r w:rsidRPr="004C35D5">
        <w:rPr>
          <w:rFonts w:asciiTheme="minorHAnsi" w:eastAsia="Times New Roman" w:hAnsiTheme="minorHAnsi" w:cstheme="minorHAnsi"/>
          <w:b/>
          <w:sz w:val="24"/>
          <w:szCs w:val="24"/>
          <w:u w:val="single"/>
        </w:rPr>
        <w:t>Response</w:t>
      </w:r>
      <w:r w:rsidRPr="004C35D5">
        <w:rPr>
          <w:rFonts w:asciiTheme="minorHAnsi" w:eastAsia="Times New Roman" w:hAnsiTheme="minorHAnsi" w:cstheme="minorHAnsi"/>
          <w:sz w:val="24"/>
          <w:szCs w:val="24"/>
        </w:rPr>
        <w:t>:</w:t>
      </w:r>
      <w:r w:rsidRPr="004C35D5">
        <w:rPr>
          <w:rFonts w:asciiTheme="minorHAnsi" w:eastAsia="Times New Roman" w:hAnsiTheme="minorHAnsi" w:cstheme="minorHAnsi"/>
          <w:sz w:val="24"/>
          <w:szCs w:val="24"/>
        </w:rPr>
        <w:tab/>
      </w:r>
      <w:r w:rsidR="009D112F" w:rsidRPr="004C35D5">
        <w:rPr>
          <w:rFonts w:eastAsia="Times New Roman" w:cs="Calibri"/>
          <w:sz w:val="24"/>
          <w:szCs w:val="24"/>
        </w:rPr>
        <w:t>Yes, t</w:t>
      </w:r>
      <w:r w:rsidR="00627300" w:rsidRPr="004C35D5">
        <w:rPr>
          <w:rFonts w:eastAsia="Times New Roman" w:cs="Calibri"/>
          <w:sz w:val="24"/>
          <w:szCs w:val="24"/>
        </w:rPr>
        <w:t xml:space="preserve">he </w:t>
      </w:r>
      <w:r w:rsidR="009D112F" w:rsidRPr="004C35D5">
        <w:rPr>
          <w:rFonts w:eastAsia="Times New Roman" w:cs="Calibri"/>
          <w:sz w:val="24"/>
          <w:szCs w:val="24"/>
        </w:rPr>
        <w:t xml:space="preserve">State will provide the regular payor file </w:t>
      </w:r>
      <w:r w:rsidR="00627300" w:rsidRPr="004C35D5">
        <w:rPr>
          <w:rFonts w:eastAsia="Times New Roman" w:cs="Calibri"/>
          <w:sz w:val="24"/>
          <w:szCs w:val="24"/>
        </w:rPr>
        <w:t xml:space="preserve">daily.  </w:t>
      </w:r>
      <w:r w:rsidR="00705E3D" w:rsidRPr="004C35D5">
        <w:rPr>
          <w:rFonts w:eastAsia="Times New Roman" w:cs="Calibri"/>
          <w:sz w:val="24"/>
          <w:szCs w:val="24"/>
        </w:rPr>
        <w:t>Attachment</w:t>
      </w:r>
      <w:r w:rsidR="00627300" w:rsidRPr="004C35D5">
        <w:rPr>
          <w:rFonts w:eastAsia="Times New Roman" w:cs="Calibri"/>
          <w:sz w:val="24"/>
          <w:szCs w:val="24"/>
        </w:rPr>
        <w:t xml:space="preserve"> R</w:t>
      </w:r>
      <w:r w:rsidR="00705E3D" w:rsidRPr="004C35D5">
        <w:rPr>
          <w:rFonts w:eastAsia="Times New Roman" w:cs="Calibri"/>
          <w:sz w:val="24"/>
          <w:szCs w:val="24"/>
        </w:rPr>
        <w:t xml:space="preserve"> will be revised</w:t>
      </w:r>
      <w:r w:rsidR="00627300" w:rsidRPr="004C35D5">
        <w:rPr>
          <w:rFonts w:eastAsia="Times New Roman" w:cs="Calibri"/>
          <w:sz w:val="24"/>
          <w:szCs w:val="24"/>
        </w:rPr>
        <w:t>.</w:t>
      </w:r>
    </w:p>
    <w:p w:rsidR="00CF12AE" w:rsidRPr="004C35D5" w:rsidRDefault="00CF12AE" w:rsidP="00CF12AE">
      <w:pPr>
        <w:numPr>
          <w:ilvl w:val="0"/>
          <w:numId w:val="2"/>
        </w:numPr>
        <w:spacing w:before="100" w:beforeAutospacing="1" w:after="100" w:afterAutospacing="1" w:line="240" w:lineRule="auto"/>
        <w:ind w:left="1440" w:hanging="720"/>
        <w:contextualSpacing/>
        <w:rPr>
          <w:rFonts w:asciiTheme="minorHAnsi" w:eastAsia="Times New Roman" w:hAnsiTheme="minorHAnsi" w:cstheme="minorHAnsi"/>
          <w:sz w:val="24"/>
          <w:szCs w:val="24"/>
        </w:rPr>
      </w:pPr>
      <w:r w:rsidRPr="004C35D5">
        <w:rPr>
          <w:rFonts w:asciiTheme="minorHAnsi" w:eastAsia="Times New Roman" w:hAnsiTheme="minorHAnsi" w:cstheme="minorHAnsi"/>
          <w:b/>
          <w:sz w:val="24"/>
          <w:szCs w:val="24"/>
          <w:u w:val="single"/>
        </w:rPr>
        <w:t>Question</w:t>
      </w:r>
      <w:r w:rsidRPr="004C35D5">
        <w:rPr>
          <w:rFonts w:asciiTheme="minorHAnsi" w:eastAsia="Times New Roman" w:hAnsiTheme="minorHAnsi" w:cstheme="minorHAnsi"/>
          <w:sz w:val="24"/>
          <w:szCs w:val="24"/>
        </w:rPr>
        <w:t>:</w:t>
      </w:r>
      <w:r w:rsidRPr="004C35D5">
        <w:rPr>
          <w:rFonts w:asciiTheme="minorHAnsi" w:eastAsia="Times New Roman" w:hAnsiTheme="minorHAnsi" w:cstheme="minorHAnsi"/>
          <w:sz w:val="24"/>
          <w:szCs w:val="24"/>
        </w:rPr>
        <w:tab/>
        <w:t xml:space="preserve">Provide the current vendor’s monthly invoice for the past 12 months. This </w:t>
      </w:r>
    </w:p>
    <w:p w:rsidR="00CF12AE" w:rsidRPr="004C35D5" w:rsidRDefault="00CF12AE" w:rsidP="00CF12AE">
      <w:pPr>
        <w:spacing w:before="100" w:beforeAutospacing="1" w:after="100" w:afterAutospacing="1" w:line="240" w:lineRule="auto"/>
        <w:ind w:left="2880"/>
        <w:contextualSpacing/>
        <w:rPr>
          <w:rFonts w:asciiTheme="minorHAnsi" w:eastAsia="Times New Roman" w:hAnsiTheme="minorHAnsi" w:cstheme="minorHAnsi"/>
          <w:sz w:val="24"/>
          <w:szCs w:val="24"/>
        </w:rPr>
      </w:pPr>
      <w:r w:rsidRPr="004C35D5">
        <w:rPr>
          <w:rFonts w:asciiTheme="minorHAnsi" w:eastAsia="Times New Roman" w:hAnsiTheme="minorHAnsi" w:cstheme="minorHAnsi"/>
          <w:sz w:val="24"/>
          <w:szCs w:val="24"/>
        </w:rPr>
        <w:t>Historical data will be used to accurately size the SDU. (RFP Attachment A)</w:t>
      </w:r>
    </w:p>
    <w:p w:rsidR="00CF12AE" w:rsidRPr="004C35D5" w:rsidRDefault="00CF12AE" w:rsidP="00CF12AE">
      <w:pPr>
        <w:spacing w:before="100" w:beforeAutospacing="1" w:after="100" w:afterAutospacing="1" w:line="240" w:lineRule="auto"/>
        <w:ind w:left="1440"/>
        <w:contextualSpacing/>
        <w:rPr>
          <w:rFonts w:asciiTheme="minorHAnsi" w:eastAsia="Times New Roman" w:hAnsiTheme="minorHAnsi" w:cstheme="minorHAnsi"/>
          <w:sz w:val="24"/>
          <w:szCs w:val="24"/>
        </w:rPr>
      </w:pPr>
    </w:p>
    <w:p w:rsidR="00CF12AE" w:rsidRPr="004C35D5" w:rsidRDefault="00CF12AE" w:rsidP="00CF12AE">
      <w:pPr>
        <w:spacing w:before="100" w:beforeAutospacing="1" w:after="100" w:afterAutospacing="1" w:line="240" w:lineRule="auto"/>
        <w:ind w:left="2880" w:hanging="1440"/>
        <w:rPr>
          <w:rFonts w:asciiTheme="minorHAnsi" w:eastAsia="Times New Roman" w:hAnsiTheme="minorHAnsi" w:cstheme="minorHAnsi"/>
          <w:b/>
          <w:sz w:val="24"/>
          <w:szCs w:val="24"/>
        </w:rPr>
      </w:pPr>
      <w:r w:rsidRPr="004C35D5">
        <w:rPr>
          <w:rFonts w:asciiTheme="minorHAnsi" w:eastAsia="Times New Roman" w:hAnsiTheme="minorHAnsi" w:cstheme="minorHAnsi"/>
          <w:b/>
          <w:sz w:val="24"/>
          <w:szCs w:val="24"/>
          <w:u w:val="single"/>
        </w:rPr>
        <w:t>Response</w:t>
      </w:r>
      <w:r w:rsidRPr="004C35D5">
        <w:rPr>
          <w:rFonts w:asciiTheme="minorHAnsi" w:eastAsia="Times New Roman" w:hAnsiTheme="minorHAnsi" w:cstheme="minorHAnsi"/>
          <w:sz w:val="24"/>
          <w:szCs w:val="24"/>
        </w:rPr>
        <w:t>:</w:t>
      </w:r>
      <w:r w:rsidRPr="004C35D5">
        <w:rPr>
          <w:rFonts w:asciiTheme="minorHAnsi" w:eastAsia="Times New Roman" w:hAnsiTheme="minorHAnsi" w:cstheme="minorHAnsi"/>
          <w:sz w:val="24"/>
          <w:szCs w:val="24"/>
        </w:rPr>
        <w:tab/>
      </w:r>
      <w:r w:rsidR="002677BE" w:rsidRPr="004C35D5">
        <w:rPr>
          <w:rFonts w:asciiTheme="minorHAnsi" w:eastAsia="Times New Roman" w:hAnsiTheme="minorHAnsi" w:cstheme="minorHAnsi"/>
          <w:sz w:val="24"/>
          <w:szCs w:val="24"/>
        </w:rPr>
        <w:t>The total</w:t>
      </w:r>
      <w:r w:rsidR="007822FB" w:rsidRPr="004C35D5">
        <w:rPr>
          <w:rFonts w:asciiTheme="minorHAnsi" w:eastAsia="Times New Roman" w:hAnsiTheme="minorHAnsi" w:cstheme="minorHAnsi"/>
          <w:sz w:val="24"/>
          <w:szCs w:val="24"/>
        </w:rPr>
        <w:t xml:space="preserve"> overall</w:t>
      </w:r>
      <w:r w:rsidR="002677BE" w:rsidRPr="004C35D5">
        <w:rPr>
          <w:rFonts w:asciiTheme="minorHAnsi" w:eastAsia="Times New Roman" w:hAnsiTheme="minorHAnsi" w:cstheme="minorHAnsi"/>
          <w:sz w:val="24"/>
          <w:szCs w:val="24"/>
        </w:rPr>
        <w:t xml:space="preserve"> invoice amount</w:t>
      </w:r>
      <w:r w:rsidR="009D112F" w:rsidRPr="004C35D5">
        <w:rPr>
          <w:rFonts w:asciiTheme="minorHAnsi" w:eastAsia="Times New Roman" w:hAnsiTheme="minorHAnsi" w:cstheme="minorHAnsi"/>
          <w:sz w:val="24"/>
          <w:szCs w:val="24"/>
        </w:rPr>
        <w:t xml:space="preserve"> for the past twelve months</w:t>
      </w:r>
      <w:r w:rsidR="002677BE" w:rsidRPr="004C35D5">
        <w:rPr>
          <w:rFonts w:asciiTheme="minorHAnsi" w:eastAsia="Times New Roman" w:hAnsiTheme="minorHAnsi" w:cstheme="minorHAnsi"/>
          <w:sz w:val="24"/>
          <w:szCs w:val="24"/>
        </w:rPr>
        <w:t xml:space="preserve"> is $1,568,095.03</w:t>
      </w:r>
      <w:r w:rsidR="009D112F" w:rsidRPr="004C35D5">
        <w:rPr>
          <w:rFonts w:asciiTheme="minorHAnsi" w:eastAsia="Times New Roman" w:hAnsiTheme="minorHAnsi" w:cstheme="minorHAnsi"/>
          <w:sz w:val="24"/>
          <w:szCs w:val="24"/>
        </w:rPr>
        <w:t>.</w:t>
      </w:r>
    </w:p>
    <w:p w:rsidR="00CF12AE" w:rsidRPr="004C35D5" w:rsidRDefault="00CF12AE" w:rsidP="00CF12AE">
      <w:pPr>
        <w:numPr>
          <w:ilvl w:val="0"/>
          <w:numId w:val="2"/>
        </w:numPr>
        <w:spacing w:before="100" w:beforeAutospacing="1" w:after="100" w:afterAutospacing="1" w:line="240" w:lineRule="auto"/>
        <w:ind w:left="1440" w:hanging="720"/>
        <w:contextualSpacing/>
        <w:rPr>
          <w:rFonts w:asciiTheme="minorHAnsi" w:eastAsia="Times New Roman" w:hAnsiTheme="minorHAnsi" w:cstheme="minorHAnsi"/>
          <w:sz w:val="24"/>
          <w:szCs w:val="24"/>
        </w:rPr>
      </w:pPr>
      <w:r w:rsidRPr="004C35D5">
        <w:rPr>
          <w:rFonts w:asciiTheme="minorHAnsi" w:eastAsia="Times New Roman" w:hAnsiTheme="minorHAnsi" w:cstheme="minorHAnsi"/>
          <w:b/>
          <w:sz w:val="24"/>
          <w:szCs w:val="24"/>
          <w:u w:val="single"/>
        </w:rPr>
        <w:t>Question</w:t>
      </w:r>
      <w:r w:rsidRPr="004C35D5">
        <w:rPr>
          <w:rFonts w:asciiTheme="minorHAnsi" w:eastAsia="Times New Roman" w:hAnsiTheme="minorHAnsi" w:cstheme="minorHAnsi"/>
          <w:sz w:val="24"/>
          <w:szCs w:val="24"/>
        </w:rPr>
        <w:t>:</w:t>
      </w:r>
      <w:r w:rsidRPr="004C35D5">
        <w:rPr>
          <w:rFonts w:asciiTheme="minorHAnsi" w:eastAsia="Times New Roman" w:hAnsiTheme="minorHAnsi" w:cstheme="minorHAnsi"/>
          <w:sz w:val="24"/>
          <w:szCs w:val="24"/>
        </w:rPr>
        <w:tab/>
        <w:t xml:space="preserve">RFP states that the SDLC is due within 10 days after the NTP, and no software </w:t>
      </w:r>
    </w:p>
    <w:p w:rsidR="00CF12AE" w:rsidRPr="004C35D5" w:rsidRDefault="00CF12AE" w:rsidP="00CF12AE">
      <w:pPr>
        <w:spacing w:before="100" w:beforeAutospacing="1" w:after="100" w:afterAutospacing="1" w:line="240" w:lineRule="auto"/>
        <w:ind w:left="2880"/>
        <w:contextualSpacing/>
        <w:rPr>
          <w:rFonts w:asciiTheme="minorHAnsi" w:eastAsia="Times New Roman" w:hAnsiTheme="minorHAnsi" w:cstheme="minorHAnsi"/>
          <w:sz w:val="24"/>
          <w:szCs w:val="24"/>
        </w:rPr>
      </w:pPr>
      <w:r w:rsidRPr="004C35D5">
        <w:rPr>
          <w:rFonts w:asciiTheme="minorHAnsi" w:eastAsia="Times New Roman" w:hAnsiTheme="minorHAnsi" w:cstheme="minorHAnsi"/>
          <w:sz w:val="24"/>
          <w:szCs w:val="24"/>
        </w:rPr>
        <w:t>development or changes can begin until the State approves the SDLC. Will the state clarify that the SDLC Plan is the roadmap of templates for accomplishing the implementation? (RFP Section 3.5.7.B &amp; 3.5.7.C, p 51</w:t>
      </w:r>
      <w:r w:rsidR="004C7215" w:rsidRPr="004C35D5">
        <w:rPr>
          <w:rFonts w:asciiTheme="minorHAnsi" w:eastAsia="Times New Roman" w:hAnsiTheme="minorHAnsi" w:cstheme="minorHAnsi"/>
          <w:sz w:val="24"/>
          <w:szCs w:val="24"/>
        </w:rPr>
        <w:t>)</w:t>
      </w:r>
    </w:p>
    <w:p w:rsidR="00CF12AE" w:rsidRPr="004C35D5" w:rsidRDefault="00CF12AE" w:rsidP="00CF12AE">
      <w:pPr>
        <w:spacing w:before="100" w:beforeAutospacing="1" w:after="100" w:afterAutospacing="1" w:line="240" w:lineRule="auto"/>
        <w:ind w:left="1440"/>
        <w:contextualSpacing/>
        <w:rPr>
          <w:rFonts w:asciiTheme="minorHAnsi" w:eastAsia="Times New Roman" w:hAnsiTheme="minorHAnsi" w:cstheme="minorHAnsi"/>
          <w:sz w:val="24"/>
          <w:szCs w:val="24"/>
        </w:rPr>
      </w:pPr>
    </w:p>
    <w:p w:rsidR="00CF12AE" w:rsidRPr="004C35D5" w:rsidRDefault="00CF12AE" w:rsidP="00CF12AE">
      <w:pPr>
        <w:spacing w:before="100" w:beforeAutospacing="1" w:after="100" w:afterAutospacing="1" w:line="240" w:lineRule="auto"/>
        <w:ind w:left="2880" w:hanging="1440"/>
        <w:rPr>
          <w:rFonts w:asciiTheme="minorHAnsi" w:eastAsia="Times New Roman" w:hAnsiTheme="minorHAnsi" w:cstheme="minorHAnsi"/>
          <w:sz w:val="24"/>
          <w:szCs w:val="24"/>
        </w:rPr>
      </w:pPr>
      <w:r w:rsidRPr="004C35D5">
        <w:rPr>
          <w:rFonts w:asciiTheme="minorHAnsi" w:eastAsia="Times New Roman" w:hAnsiTheme="minorHAnsi" w:cstheme="minorHAnsi"/>
          <w:b/>
          <w:sz w:val="24"/>
          <w:szCs w:val="24"/>
          <w:u w:val="single"/>
        </w:rPr>
        <w:t>Response</w:t>
      </w:r>
      <w:r w:rsidRPr="004C35D5">
        <w:rPr>
          <w:rFonts w:asciiTheme="minorHAnsi" w:eastAsia="Times New Roman" w:hAnsiTheme="minorHAnsi" w:cstheme="minorHAnsi"/>
          <w:sz w:val="24"/>
          <w:szCs w:val="24"/>
        </w:rPr>
        <w:t>:</w:t>
      </w:r>
      <w:r w:rsidRPr="004C35D5">
        <w:rPr>
          <w:rFonts w:asciiTheme="minorHAnsi" w:eastAsia="Times New Roman" w:hAnsiTheme="minorHAnsi" w:cstheme="minorHAnsi"/>
          <w:sz w:val="24"/>
          <w:szCs w:val="24"/>
        </w:rPr>
        <w:tab/>
      </w:r>
      <w:r w:rsidR="00F64A38" w:rsidRPr="004C35D5">
        <w:rPr>
          <w:rFonts w:eastAsia="Times New Roman" w:cs="Calibri"/>
          <w:sz w:val="24"/>
          <w:szCs w:val="24"/>
        </w:rPr>
        <w:t>No.  For more information regarding the SDLC Plan, please refer to the link in Section 3.5.7.B, page 51.</w:t>
      </w:r>
    </w:p>
    <w:p w:rsidR="00CF12AE" w:rsidRPr="004C35D5" w:rsidRDefault="00CF12AE" w:rsidP="00CF12AE">
      <w:pPr>
        <w:numPr>
          <w:ilvl w:val="0"/>
          <w:numId w:val="2"/>
        </w:numPr>
        <w:spacing w:before="100" w:beforeAutospacing="1" w:after="100" w:afterAutospacing="1" w:line="240" w:lineRule="auto"/>
        <w:ind w:left="1440" w:hanging="720"/>
        <w:contextualSpacing/>
        <w:rPr>
          <w:rFonts w:asciiTheme="minorHAnsi" w:eastAsia="Times New Roman" w:hAnsiTheme="minorHAnsi" w:cstheme="minorHAnsi"/>
          <w:sz w:val="24"/>
          <w:szCs w:val="24"/>
        </w:rPr>
      </w:pPr>
      <w:r w:rsidRPr="004C35D5">
        <w:rPr>
          <w:rFonts w:asciiTheme="minorHAnsi" w:eastAsia="Times New Roman" w:hAnsiTheme="minorHAnsi" w:cstheme="minorHAnsi"/>
          <w:b/>
          <w:sz w:val="24"/>
          <w:szCs w:val="24"/>
          <w:u w:val="single"/>
        </w:rPr>
        <w:t>Question</w:t>
      </w:r>
      <w:r w:rsidRPr="004C35D5">
        <w:rPr>
          <w:rFonts w:asciiTheme="minorHAnsi" w:eastAsia="Times New Roman" w:hAnsiTheme="minorHAnsi" w:cstheme="minorHAnsi"/>
          <w:sz w:val="24"/>
          <w:szCs w:val="24"/>
        </w:rPr>
        <w:t>:</w:t>
      </w:r>
      <w:r w:rsidRPr="004C35D5">
        <w:rPr>
          <w:rFonts w:asciiTheme="minorHAnsi" w:eastAsia="Times New Roman" w:hAnsiTheme="minorHAnsi" w:cstheme="minorHAnsi"/>
          <w:sz w:val="24"/>
          <w:szCs w:val="24"/>
        </w:rPr>
        <w:tab/>
        <w:t xml:space="preserve">RFP states “a. Access to operating systems for training during normal working </w:t>
      </w:r>
    </w:p>
    <w:p w:rsidR="00CF12AE" w:rsidRPr="004C35D5" w:rsidRDefault="00CF12AE" w:rsidP="00CF12AE">
      <w:pPr>
        <w:spacing w:before="100" w:beforeAutospacing="1" w:after="100" w:afterAutospacing="1" w:line="240" w:lineRule="auto"/>
        <w:ind w:left="2880"/>
        <w:contextualSpacing/>
        <w:rPr>
          <w:rFonts w:asciiTheme="minorHAnsi" w:eastAsia="Times New Roman" w:hAnsiTheme="minorHAnsi" w:cstheme="minorHAnsi"/>
          <w:sz w:val="24"/>
          <w:szCs w:val="24"/>
        </w:rPr>
      </w:pPr>
      <w:r w:rsidRPr="004C35D5">
        <w:rPr>
          <w:rFonts w:asciiTheme="minorHAnsi" w:eastAsia="Times New Roman" w:hAnsiTheme="minorHAnsi" w:cstheme="minorHAnsi"/>
          <w:sz w:val="24"/>
          <w:szCs w:val="24"/>
        </w:rPr>
        <w:t>Hours (8:00a.m. until 6:00p.m.)” As this is a services-based contract with contractors using proprietary software to provide the service, would the State please clarify which operating systems are included in this requirement? (RFP Section 3.8.B.11.a, p 84)</w:t>
      </w:r>
    </w:p>
    <w:p w:rsidR="00CF12AE" w:rsidRPr="004C35D5" w:rsidRDefault="00CF12AE" w:rsidP="00CF12AE">
      <w:pPr>
        <w:spacing w:before="100" w:beforeAutospacing="1" w:after="100" w:afterAutospacing="1" w:line="240" w:lineRule="auto"/>
        <w:ind w:left="1440"/>
        <w:contextualSpacing/>
        <w:rPr>
          <w:rFonts w:asciiTheme="minorHAnsi" w:eastAsia="Times New Roman" w:hAnsiTheme="minorHAnsi" w:cstheme="minorHAnsi"/>
          <w:sz w:val="24"/>
          <w:szCs w:val="24"/>
        </w:rPr>
      </w:pPr>
    </w:p>
    <w:p w:rsidR="00CF12AE" w:rsidRPr="004C35D5" w:rsidRDefault="00CF12AE" w:rsidP="00CF12AE">
      <w:pPr>
        <w:spacing w:before="100" w:beforeAutospacing="1" w:after="100" w:afterAutospacing="1" w:line="240" w:lineRule="auto"/>
        <w:ind w:left="2880" w:hanging="1440"/>
        <w:rPr>
          <w:rFonts w:asciiTheme="minorHAnsi" w:eastAsia="Times New Roman" w:hAnsiTheme="minorHAnsi" w:cstheme="minorHAnsi"/>
          <w:b/>
          <w:sz w:val="24"/>
          <w:szCs w:val="24"/>
        </w:rPr>
      </w:pPr>
      <w:r w:rsidRPr="004C35D5">
        <w:rPr>
          <w:rFonts w:asciiTheme="minorHAnsi" w:eastAsia="Times New Roman" w:hAnsiTheme="minorHAnsi" w:cstheme="minorHAnsi"/>
          <w:b/>
          <w:sz w:val="24"/>
          <w:szCs w:val="24"/>
          <w:u w:val="single"/>
        </w:rPr>
        <w:t>Response</w:t>
      </w:r>
      <w:r w:rsidRPr="004C35D5">
        <w:rPr>
          <w:rFonts w:asciiTheme="minorHAnsi" w:eastAsia="Times New Roman" w:hAnsiTheme="minorHAnsi" w:cstheme="minorHAnsi"/>
          <w:sz w:val="24"/>
          <w:szCs w:val="24"/>
        </w:rPr>
        <w:t>:</w:t>
      </w:r>
      <w:r w:rsidR="00F64A38" w:rsidRPr="004C35D5">
        <w:rPr>
          <w:rFonts w:asciiTheme="minorHAnsi" w:eastAsia="Times New Roman" w:hAnsiTheme="minorHAnsi" w:cstheme="minorHAnsi"/>
          <w:sz w:val="24"/>
          <w:szCs w:val="24"/>
        </w:rPr>
        <w:tab/>
      </w:r>
      <w:r w:rsidR="00546550" w:rsidRPr="004C35D5">
        <w:rPr>
          <w:rFonts w:asciiTheme="minorHAnsi" w:eastAsia="Times New Roman" w:hAnsiTheme="minorHAnsi" w:cstheme="minorHAnsi"/>
          <w:sz w:val="24"/>
          <w:szCs w:val="24"/>
        </w:rPr>
        <w:t xml:space="preserve">This section has been revised to include subject matter experts, instead of the operating systems.  See Amendment </w:t>
      </w:r>
      <w:r w:rsidR="002D1485" w:rsidRPr="004C35D5">
        <w:rPr>
          <w:rFonts w:asciiTheme="minorHAnsi" w:eastAsia="Times New Roman" w:hAnsiTheme="minorHAnsi" w:cstheme="minorHAnsi"/>
          <w:sz w:val="24"/>
          <w:szCs w:val="24"/>
        </w:rPr>
        <w:t>#</w:t>
      </w:r>
      <w:r w:rsidR="00546550" w:rsidRPr="004C35D5">
        <w:rPr>
          <w:rFonts w:asciiTheme="minorHAnsi" w:eastAsia="Times New Roman" w:hAnsiTheme="minorHAnsi" w:cstheme="minorHAnsi"/>
          <w:sz w:val="24"/>
          <w:szCs w:val="24"/>
        </w:rPr>
        <w:t xml:space="preserve">1.   </w:t>
      </w:r>
    </w:p>
    <w:p w:rsidR="00CF12AE" w:rsidRPr="004C35D5" w:rsidRDefault="00CF12AE" w:rsidP="00CF12AE">
      <w:pPr>
        <w:numPr>
          <w:ilvl w:val="0"/>
          <w:numId w:val="2"/>
        </w:numPr>
        <w:spacing w:before="100" w:beforeAutospacing="1" w:after="100" w:afterAutospacing="1" w:line="240" w:lineRule="auto"/>
        <w:ind w:left="1440" w:hanging="720"/>
        <w:contextualSpacing/>
        <w:rPr>
          <w:rFonts w:asciiTheme="minorHAnsi" w:eastAsia="Times New Roman" w:hAnsiTheme="minorHAnsi" w:cstheme="minorHAnsi"/>
          <w:sz w:val="24"/>
          <w:szCs w:val="24"/>
        </w:rPr>
      </w:pPr>
      <w:r w:rsidRPr="004C35D5">
        <w:rPr>
          <w:rFonts w:asciiTheme="minorHAnsi" w:eastAsia="Times New Roman" w:hAnsiTheme="minorHAnsi" w:cstheme="minorHAnsi"/>
          <w:b/>
          <w:sz w:val="24"/>
          <w:szCs w:val="24"/>
          <w:u w:val="single"/>
        </w:rPr>
        <w:t>Question</w:t>
      </w:r>
      <w:r w:rsidRPr="004C35D5">
        <w:rPr>
          <w:rFonts w:asciiTheme="minorHAnsi" w:eastAsia="Times New Roman" w:hAnsiTheme="minorHAnsi" w:cstheme="minorHAnsi"/>
          <w:sz w:val="24"/>
          <w:szCs w:val="24"/>
        </w:rPr>
        <w:t>:</w:t>
      </w:r>
      <w:r w:rsidRPr="004C35D5">
        <w:rPr>
          <w:rFonts w:asciiTheme="minorHAnsi" w:eastAsia="Times New Roman" w:hAnsiTheme="minorHAnsi" w:cstheme="minorHAnsi"/>
          <w:sz w:val="24"/>
          <w:szCs w:val="24"/>
        </w:rPr>
        <w:tab/>
        <w:t xml:space="preserve">As this is a service-based contract using proprietary software to provide the </w:t>
      </w:r>
    </w:p>
    <w:p w:rsidR="00CF12AE" w:rsidRPr="004C35D5" w:rsidRDefault="00CF12AE" w:rsidP="00CF12AE">
      <w:pPr>
        <w:spacing w:before="100" w:beforeAutospacing="1" w:after="100" w:afterAutospacing="1" w:line="240" w:lineRule="auto"/>
        <w:ind w:left="2880"/>
        <w:contextualSpacing/>
        <w:rPr>
          <w:rFonts w:asciiTheme="minorHAnsi" w:eastAsia="Times New Roman" w:hAnsiTheme="minorHAnsi" w:cstheme="minorHAnsi"/>
          <w:sz w:val="24"/>
          <w:szCs w:val="24"/>
        </w:rPr>
      </w:pPr>
      <w:r w:rsidRPr="004C35D5">
        <w:rPr>
          <w:rFonts w:asciiTheme="minorHAnsi" w:eastAsia="Times New Roman" w:hAnsiTheme="minorHAnsi" w:cstheme="minorHAnsi"/>
          <w:sz w:val="24"/>
          <w:szCs w:val="24"/>
        </w:rPr>
        <w:t>service, would the State consider allowing contractors to put source code in escrow rather than turning it over at the end of the contract? (RFP Section 3.8.B.3, p 83)</w:t>
      </w:r>
    </w:p>
    <w:p w:rsidR="00CF12AE" w:rsidRPr="004C35D5" w:rsidRDefault="00CF12AE" w:rsidP="00CF12AE">
      <w:pPr>
        <w:spacing w:before="100" w:beforeAutospacing="1" w:after="100" w:afterAutospacing="1" w:line="240" w:lineRule="auto"/>
        <w:ind w:left="2880"/>
        <w:contextualSpacing/>
        <w:rPr>
          <w:rFonts w:asciiTheme="minorHAnsi" w:eastAsia="Times New Roman" w:hAnsiTheme="minorHAnsi" w:cstheme="minorHAnsi"/>
          <w:sz w:val="24"/>
          <w:szCs w:val="24"/>
        </w:rPr>
      </w:pPr>
    </w:p>
    <w:p w:rsidR="00CF12AE" w:rsidRPr="004C35D5" w:rsidRDefault="00CF12AE" w:rsidP="00CF12AE">
      <w:pPr>
        <w:spacing w:before="100" w:beforeAutospacing="1" w:after="100" w:afterAutospacing="1" w:line="240" w:lineRule="auto"/>
        <w:ind w:left="1440"/>
        <w:contextualSpacing/>
        <w:rPr>
          <w:rFonts w:asciiTheme="minorHAnsi" w:eastAsia="Times New Roman" w:hAnsiTheme="minorHAnsi" w:cstheme="minorHAnsi"/>
          <w:sz w:val="24"/>
          <w:szCs w:val="24"/>
        </w:rPr>
      </w:pPr>
    </w:p>
    <w:p w:rsidR="00822182" w:rsidRPr="004C35D5" w:rsidRDefault="00CF12AE" w:rsidP="00CF12AE">
      <w:pPr>
        <w:spacing w:before="100" w:beforeAutospacing="1" w:after="100" w:afterAutospacing="1" w:line="240" w:lineRule="auto"/>
        <w:ind w:left="2880" w:hanging="1440"/>
        <w:rPr>
          <w:rFonts w:asciiTheme="minorHAnsi" w:eastAsia="Times New Roman" w:hAnsiTheme="minorHAnsi" w:cstheme="minorHAnsi"/>
          <w:sz w:val="24"/>
          <w:szCs w:val="24"/>
        </w:rPr>
      </w:pPr>
      <w:r w:rsidRPr="004C35D5">
        <w:rPr>
          <w:rFonts w:asciiTheme="minorHAnsi" w:eastAsia="Times New Roman" w:hAnsiTheme="minorHAnsi" w:cstheme="minorHAnsi"/>
          <w:b/>
          <w:sz w:val="24"/>
          <w:szCs w:val="24"/>
        </w:rPr>
        <w:t>Response:</w:t>
      </w:r>
      <w:r w:rsidR="00F64A38" w:rsidRPr="004C35D5">
        <w:rPr>
          <w:rFonts w:asciiTheme="minorHAnsi" w:eastAsia="Times New Roman" w:hAnsiTheme="minorHAnsi" w:cstheme="minorHAnsi"/>
          <w:b/>
          <w:sz w:val="24"/>
          <w:szCs w:val="24"/>
        </w:rPr>
        <w:tab/>
      </w:r>
      <w:r w:rsidR="00822182" w:rsidRPr="004C35D5">
        <w:rPr>
          <w:rFonts w:asciiTheme="minorHAnsi" w:eastAsia="Times New Roman" w:hAnsiTheme="minorHAnsi" w:cstheme="minorHAnsi"/>
          <w:sz w:val="24"/>
          <w:szCs w:val="24"/>
        </w:rPr>
        <w:t xml:space="preserve">This section has been revised to remove references to source code and object code.  See Amendment </w:t>
      </w:r>
      <w:r w:rsidR="002D1485" w:rsidRPr="004C35D5">
        <w:rPr>
          <w:rFonts w:asciiTheme="minorHAnsi" w:eastAsia="Times New Roman" w:hAnsiTheme="minorHAnsi" w:cstheme="minorHAnsi"/>
          <w:sz w:val="24"/>
          <w:szCs w:val="24"/>
        </w:rPr>
        <w:t>#</w:t>
      </w:r>
      <w:r w:rsidR="00822182" w:rsidRPr="004C35D5">
        <w:rPr>
          <w:rFonts w:asciiTheme="minorHAnsi" w:eastAsia="Times New Roman" w:hAnsiTheme="minorHAnsi" w:cstheme="minorHAnsi"/>
          <w:sz w:val="24"/>
          <w:szCs w:val="24"/>
        </w:rPr>
        <w:t>1.</w:t>
      </w:r>
    </w:p>
    <w:p w:rsidR="00CF12AE" w:rsidRPr="004C35D5" w:rsidRDefault="00CF12AE" w:rsidP="00CF12AE">
      <w:pPr>
        <w:numPr>
          <w:ilvl w:val="0"/>
          <w:numId w:val="2"/>
        </w:numPr>
        <w:spacing w:before="100" w:beforeAutospacing="1" w:after="100" w:afterAutospacing="1" w:line="240" w:lineRule="auto"/>
        <w:ind w:left="1440" w:hanging="720"/>
        <w:contextualSpacing/>
        <w:rPr>
          <w:rFonts w:asciiTheme="minorHAnsi" w:eastAsia="Times New Roman" w:hAnsiTheme="minorHAnsi" w:cstheme="minorHAnsi"/>
          <w:sz w:val="24"/>
          <w:szCs w:val="24"/>
        </w:rPr>
      </w:pPr>
      <w:r w:rsidRPr="004C35D5">
        <w:rPr>
          <w:rFonts w:asciiTheme="minorHAnsi" w:eastAsia="Times New Roman" w:hAnsiTheme="minorHAnsi" w:cstheme="minorHAnsi"/>
          <w:b/>
          <w:sz w:val="24"/>
          <w:szCs w:val="24"/>
          <w:u w:val="single"/>
        </w:rPr>
        <w:t>Question</w:t>
      </w:r>
      <w:r w:rsidRPr="004C35D5">
        <w:rPr>
          <w:rFonts w:asciiTheme="minorHAnsi" w:eastAsia="Times New Roman" w:hAnsiTheme="minorHAnsi" w:cstheme="minorHAnsi"/>
          <w:sz w:val="24"/>
          <w:szCs w:val="24"/>
        </w:rPr>
        <w:t>:</w:t>
      </w:r>
      <w:r w:rsidRPr="004C35D5">
        <w:rPr>
          <w:rFonts w:asciiTheme="minorHAnsi" w:eastAsia="Times New Roman" w:hAnsiTheme="minorHAnsi" w:cstheme="minorHAnsi"/>
          <w:sz w:val="24"/>
          <w:szCs w:val="24"/>
        </w:rPr>
        <w:tab/>
        <w:t xml:space="preserve">Since this is services-based contract using proprietary software to provide the </w:t>
      </w:r>
    </w:p>
    <w:p w:rsidR="00CF12AE" w:rsidRPr="004C35D5" w:rsidRDefault="00CF12AE" w:rsidP="00CF12AE">
      <w:pPr>
        <w:spacing w:before="100" w:beforeAutospacing="1" w:after="100" w:afterAutospacing="1" w:line="240" w:lineRule="auto"/>
        <w:ind w:left="2880"/>
        <w:contextualSpacing/>
        <w:rPr>
          <w:rFonts w:asciiTheme="minorHAnsi" w:eastAsia="Times New Roman" w:hAnsiTheme="minorHAnsi" w:cstheme="minorHAnsi"/>
          <w:sz w:val="24"/>
          <w:szCs w:val="24"/>
        </w:rPr>
      </w:pPr>
      <w:r w:rsidRPr="004C35D5">
        <w:rPr>
          <w:rFonts w:asciiTheme="minorHAnsi" w:eastAsia="Times New Roman" w:hAnsiTheme="minorHAnsi" w:cstheme="minorHAnsi"/>
          <w:sz w:val="24"/>
          <w:szCs w:val="24"/>
        </w:rPr>
        <w:t xml:space="preserve">service, would the State consider limiting access to source code by means of an escrow account that may be opened in the event of contractor breach, bankruptcy, or end of business? (RFP Section 3.8 B 3) </w:t>
      </w:r>
    </w:p>
    <w:p w:rsidR="00CF12AE" w:rsidRPr="004C35D5" w:rsidRDefault="00CF12AE" w:rsidP="00CF12AE">
      <w:pPr>
        <w:spacing w:before="100" w:beforeAutospacing="1" w:after="100" w:afterAutospacing="1" w:line="240" w:lineRule="auto"/>
        <w:ind w:left="1440"/>
        <w:contextualSpacing/>
        <w:rPr>
          <w:rFonts w:asciiTheme="minorHAnsi" w:eastAsia="Times New Roman" w:hAnsiTheme="minorHAnsi" w:cstheme="minorHAnsi"/>
          <w:sz w:val="24"/>
          <w:szCs w:val="24"/>
        </w:rPr>
      </w:pPr>
      <w:r w:rsidRPr="004C35D5">
        <w:rPr>
          <w:rFonts w:asciiTheme="minorHAnsi" w:eastAsia="Times New Roman" w:hAnsiTheme="minorHAnsi" w:cstheme="minorHAnsi"/>
          <w:sz w:val="24"/>
          <w:szCs w:val="24"/>
        </w:rPr>
        <w:t xml:space="preserve">  </w:t>
      </w:r>
    </w:p>
    <w:p w:rsidR="00CF12AE" w:rsidRPr="004C35D5" w:rsidRDefault="00CF12AE" w:rsidP="00CF12AE">
      <w:pPr>
        <w:spacing w:before="100" w:beforeAutospacing="1" w:after="100" w:afterAutospacing="1" w:line="240" w:lineRule="auto"/>
        <w:ind w:left="2880" w:hanging="1440"/>
        <w:rPr>
          <w:rFonts w:asciiTheme="minorHAnsi" w:eastAsia="Times New Roman" w:hAnsiTheme="minorHAnsi" w:cstheme="minorHAnsi"/>
          <w:b/>
          <w:sz w:val="24"/>
          <w:szCs w:val="24"/>
        </w:rPr>
      </w:pPr>
      <w:r w:rsidRPr="004C35D5">
        <w:rPr>
          <w:rFonts w:asciiTheme="minorHAnsi" w:eastAsia="Times New Roman" w:hAnsiTheme="minorHAnsi" w:cstheme="minorHAnsi"/>
          <w:b/>
          <w:sz w:val="24"/>
          <w:szCs w:val="24"/>
          <w:u w:val="single"/>
        </w:rPr>
        <w:t>Response</w:t>
      </w:r>
      <w:r w:rsidRPr="004C35D5">
        <w:rPr>
          <w:rFonts w:asciiTheme="minorHAnsi" w:eastAsia="Times New Roman" w:hAnsiTheme="minorHAnsi" w:cstheme="minorHAnsi"/>
          <w:sz w:val="24"/>
          <w:szCs w:val="24"/>
        </w:rPr>
        <w:t>:</w:t>
      </w:r>
      <w:r w:rsidRPr="004C35D5">
        <w:rPr>
          <w:rFonts w:asciiTheme="minorHAnsi" w:eastAsia="Times New Roman" w:hAnsiTheme="minorHAnsi" w:cstheme="minorHAnsi"/>
          <w:sz w:val="24"/>
          <w:szCs w:val="24"/>
        </w:rPr>
        <w:tab/>
      </w:r>
      <w:r w:rsidR="00822182" w:rsidRPr="004C35D5">
        <w:rPr>
          <w:rFonts w:asciiTheme="minorHAnsi" w:eastAsia="Times New Roman" w:hAnsiTheme="minorHAnsi" w:cstheme="minorHAnsi"/>
          <w:sz w:val="24"/>
          <w:szCs w:val="24"/>
        </w:rPr>
        <w:t>The State has removed r</w:t>
      </w:r>
      <w:r w:rsidR="00822182" w:rsidRPr="004C35D5">
        <w:rPr>
          <w:rFonts w:eastAsia="Times New Roman" w:cs="Calibri"/>
          <w:sz w:val="24"/>
          <w:szCs w:val="24"/>
        </w:rPr>
        <w:t xml:space="preserve">eferences to source codes in Section 3.8.B.3.  See Amendment </w:t>
      </w:r>
      <w:r w:rsidR="002D1485" w:rsidRPr="004C35D5">
        <w:rPr>
          <w:rFonts w:eastAsia="Times New Roman" w:cs="Calibri"/>
          <w:sz w:val="24"/>
          <w:szCs w:val="24"/>
        </w:rPr>
        <w:t>#</w:t>
      </w:r>
      <w:r w:rsidR="00822182" w:rsidRPr="004C35D5">
        <w:rPr>
          <w:rFonts w:eastAsia="Times New Roman" w:cs="Calibri"/>
          <w:sz w:val="24"/>
          <w:szCs w:val="24"/>
        </w:rPr>
        <w:t xml:space="preserve">1. </w:t>
      </w:r>
    </w:p>
    <w:p w:rsidR="00CF12AE" w:rsidRPr="004C35D5" w:rsidRDefault="00CF12AE" w:rsidP="00CF12AE">
      <w:pPr>
        <w:numPr>
          <w:ilvl w:val="0"/>
          <w:numId w:val="2"/>
        </w:numPr>
        <w:spacing w:before="100" w:beforeAutospacing="1" w:after="100" w:afterAutospacing="1" w:line="240" w:lineRule="auto"/>
        <w:ind w:left="1440" w:hanging="720"/>
        <w:contextualSpacing/>
        <w:rPr>
          <w:rFonts w:asciiTheme="minorHAnsi" w:eastAsia="Times New Roman" w:hAnsiTheme="minorHAnsi" w:cstheme="minorHAnsi"/>
          <w:sz w:val="24"/>
          <w:szCs w:val="24"/>
        </w:rPr>
      </w:pPr>
      <w:r w:rsidRPr="004C35D5">
        <w:rPr>
          <w:rFonts w:asciiTheme="minorHAnsi" w:eastAsia="Times New Roman" w:hAnsiTheme="minorHAnsi" w:cstheme="minorHAnsi"/>
          <w:b/>
          <w:sz w:val="24"/>
          <w:szCs w:val="24"/>
          <w:u w:val="single"/>
        </w:rPr>
        <w:t>Question</w:t>
      </w:r>
      <w:r w:rsidRPr="004C35D5">
        <w:rPr>
          <w:rFonts w:asciiTheme="minorHAnsi" w:eastAsia="Times New Roman" w:hAnsiTheme="minorHAnsi" w:cstheme="minorHAnsi"/>
          <w:sz w:val="24"/>
          <w:szCs w:val="24"/>
        </w:rPr>
        <w:t>:</w:t>
      </w:r>
      <w:r w:rsidRPr="004C35D5">
        <w:rPr>
          <w:rFonts w:asciiTheme="minorHAnsi" w:eastAsia="Times New Roman" w:hAnsiTheme="minorHAnsi" w:cstheme="minorHAnsi"/>
          <w:sz w:val="24"/>
          <w:szCs w:val="24"/>
        </w:rPr>
        <w:tab/>
      </w:r>
      <w:r w:rsidRPr="004C35D5">
        <w:rPr>
          <w:rFonts w:asciiTheme="minorHAnsi" w:hAnsiTheme="minorHAnsi" w:cstheme="minorHAnsi"/>
          <w:sz w:val="24"/>
          <w:szCs w:val="24"/>
        </w:rPr>
        <w:t xml:space="preserve">Surety Bid Bond &amp; Payment bond: Even though the following paragraph </w:t>
      </w:r>
    </w:p>
    <w:p w:rsidR="00CF12AE" w:rsidRPr="004C35D5" w:rsidRDefault="00CF12AE" w:rsidP="00F11A14">
      <w:pPr>
        <w:spacing w:before="100" w:beforeAutospacing="1" w:after="100" w:afterAutospacing="1" w:line="240" w:lineRule="auto"/>
        <w:ind w:left="2880"/>
        <w:contextualSpacing/>
        <w:rPr>
          <w:rFonts w:asciiTheme="minorHAnsi" w:eastAsia="Times New Roman" w:hAnsiTheme="minorHAnsi" w:cstheme="minorHAnsi"/>
          <w:sz w:val="24"/>
          <w:szCs w:val="24"/>
        </w:rPr>
      </w:pPr>
      <w:r w:rsidRPr="004C35D5">
        <w:rPr>
          <w:rFonts w:asciiTheme="minorHAnsi" w:eastAsia="Times New Roman" w:hAnsiTheme="minorHAnsi" w:cstheme="minorHAnsi"/>
          <w:sz w:val="24"/>
          <w:szCs w:val="24"/>
        </w:rPr>
        <w:t xml:space="preserve">references the words bid and payment bonds within the performance bond paragraph, please confirm that such bid and payment bonds are not required for this deal as there was no specific requirement outlined within this RFP. Are there any bid payment bonds required? If so, what are the actual requirements and the amounts? (RFP Section 2.44 Performance Bond, p 34) </w:t>
      </w:r>
    </w:p>
    <w:p w:rsidR="00CF12AE" w:rsidRPr="004C35D5" w:rsidRDefault="00CF12AE" w:rsidP="00CF12AE">
      <w:pPr>
        <w:spacing w:before="100" w:beforeAutospacing="1" w:after="100" w:afterAutospacing="1" w:line="240" w:lineRule="auto"/>
        <w:ind w:left="1440"/>
        <w:contextualSpacing/>
        <w:rPr>
          <w:rFonts w:asciiTheme="minorHAnsi" w:eastAsia="Times New Roman" w:hAnsiTheme="minorHAnsi" w:cstheme="minorHAnsi"/>
          <w:sz w:val="24"/>
          <w:szCs w:val="24"/>
        </w:rPr>
      </w:pPr>
    </w:p>
    <w:p w:rsidR="00CF12AE" w:rsidRPr="004C35D5" w:rsidRDefault="00CF12AE" w:rsidP="00CF12AE">
      <w:pPr>
        <w:spacing w:before="100" w:beforeAutospacing="1" w:after="100" w:afterAutospacing="1" w:line="240" w:lineRule="auto"/>
        <w:ind w:left="2880" w:hanging="1440"/>
        <w:rPr>
          <w:rFonts w:asciiTheme="minorHAnsi" w:eastAsia="Times New Roman" w:hAnsiTheme="minorHAnsi" w:cstheme="minorHAnsi"/>
          <w:b/>
          <w:sz w:val="24"/>
          <w:szCs w:val="24"/>
        </w:rPr>
      </w:pPr>
      <w:r w:rsidRPr="004C35D5">
        <w:rPr>
          <w:rFonts w:asciiTheme="minorHAnsi" w:eastAsia="Times New Roman" w:hAnsiTheme="minorHAnsi" w:cstheme="minorHAnsi"/>
          <w:b/>
          <w:sz w:val="24"/>
          <w:szCs w:val="24"/>
          <w:u w:val="single"/>
        </w:rPr>
        <w:t>Response</w:t>
      </w:r>
      <w:r w:rsidRPr="004C35D5">
        <w:rPr>
          <w:rFonts w:asciiTheme="minorHAnsi" w:eastAsia="Times New Roman" w:hAnsiTheme="minorHAnsi" w:cstheme="minorHAnsi"/>
          <w:sz w:val="24"/>
          <w:szCs w:val="24"/>
        </w:rPr>
        <w:t>:</w:t>
      </w:r>
      <w:r w:rsidRPr="004C35D5">
        <w:rPr>
          <w:rFonts w:asciiTheme="minorHAnsi" w:eastAsia="Times New Roman" w:hAnsiTheme="minorHAnsi" w:cstheme="minorHAnsi"/>
          <w:sz w:val="24"/>
          <w:szCs w:val="24"/>
        </w:rPr>
        <w:tab/>
      </w:r>
      <w:r w:rsidR="00D954F6" w:rsidRPr="004C35D5">
        <w:rPr>
          <w:rFonts w:asciiTheme="minorHAnsi" w:eastAsia="Times New Roman" w:hAnsiTheme="minorHAnsi" w:cstheme="minorHAnsi"/>
          <w:sz w:val="24"/>
          <w:szCs w:val="24"/>
        </w:rPr>
        <w:t>Offerors are not required to possess</w:t>
      </w:r>
      <w:r w:rsidR="004C7215" w:rsidRPr="004C35D5">
        <w:rPr>
          <w:rFonts w:eastAsia="Times New Roman" w:cs="Calibri"/>
          <w:sz w:val="24"/>
          <w:szCs w:val="24"/>
        </w:rPr>
        <w:t xml:space="preserve"> bid or payment bonds.  </w:t>
      </w:r>
      <w:r w:rsidR="00D954F6" w:rsidRPr="004C35D5">
        <w:rPr>
          <w:rFonts w:eastAsia="Times New Roman" w:cs="Calibri"/>
          <w:sz w:val="24"/>
          <w:szCs w:val="24"/>
        </w:rPr>
        <w:t xml:space="preserve">The second paragraph in Section 2.44 provides information to </w:t>
      </w:r>
      <w:r w:rsidR="004C7215" w:rsidRPr="004C35D5">
        <w:rPr>
          <w:rFonts w:eastAsia="Times New Roman" w:cs="Calibri"/>
          <w:sz w:val="24"/>
          <w:szCs w:val="24"/>
        </w:rPr>
        <w:t xml:space="preserve">small businesses who are seeking assistance in obtaining </w:t>
      </w:r>
      <w:r w:rsidR="00D954F6" w:rsidRPr="004C35D5">
        <w:rPr>
          <w:rFonts w:eastAsia="Times New Roman" w:cs="Calibri"/>
          <w:sz w:val="24"/>
          <w:szCs w:val="24"/>
        </w:rPr>
        <w:t>those types of bonds</w:t>
      </w:r>
      <w:r w:rsidR="004C7215" w:rsidRPr="004C35D5">
        <w:rPr>
          <w:rFonts w:eastAsia="Times New Roman" w:cs="Calibri"/>
          <w:sz w:val="24"/>
          <w:szCs w:val="24"/>
        </w:rPr>
        <w:t xml:space="preserve"> through the Maryland Small Business Development Financing Authority.</w:t>
      </w:r>
    </w:p>
    <w:p w:rsidR="00CF12AE" w:rsidRPr="004C35D5" w:rsidRDefault="00CF12AE" w:rsidP="00F11A14">
      <w:pPr>
        <w:numPr>
          <w:ilvl w:val="0"/>
          <w:numId w:val="2"/>
        </w:numPr>
        <w:spacing w:before="100" w:beforeAutospacing="1" w:after="100" w:afterAutospacing="1" w:line="240" w:lineRule="auto"/>
        <w:ind w:left="1440" w:hanging="720"/>
        <w:contextualSpacing/>
        <w:rPr>
          <w:rFonts w:asciiTheme="minorHAnsi" w:eastAsia="Times New Roman" w:hAnsiTheme="minorHAnsi" w:cstheme="minorHAnsi"/>
          <w:sz w:val="24"/>
          <w:szCs w:val="24"/>
        </w:rPr>
      </w:pPr>
      <w:r w:rsidRPr="004C35D5">
        <w:rPr>
          <w:rFonts w:asciiTheme="minorHAnsi" w:eastAsia="Times New Roman" w:hAnsiTheme="minorHAnsi" w:cstheme="minorHAnsi"/>
          <w:b/>
          <w:sz w:val="24"/>
          <w:szCs w:val="24"/>
          <w:u w:val="single"/>
        </w:rPr>
        <w:t>Question</w:t>
      </w:r>
      <w:r w:rsidRPr="004C35D5">
        <w:rPr>
          <w:rFonts w:asciiTheme="minorHAnsi" w:eastAsia="Times New Roman" w:hAnsiTheme="minorHAnsi" w:cstheme="minorHAnsi"/>
          <w:sz w:val="24"/>
          <w:szCs w:val="24"/>
        </w:rPr>
        <w:t>:</w:t>
      </w:r>
      <w:r w:rsidRPr="004C35D5">
        <w:rPr>
          <w:rFonts w:asciiTheme="minorHAnsi" w:eastAsia="Times New Roman" w:hAnsiTheme="minorHAnsi" w:cstheme="minorHAnsi"/>
          <w:sz w:val="24"/>
          <w:szCs w:val="24"/>
        </w:rPr>
        <w:tab/>
        <w:t xml:space="preserve">What is the current contract price per each transaction type? </w:t>
      </w:r>
    </w:p>
    <w:p w:rsidR="00CF12AE" w:rsidRPr="004C35D5" w:rsidRDefault="00CF12AE" w:rsidP="00CF12AE">
      <w:pPr>
        <w:spacing w:before="100" w:beforeAutospacing="1" w:after="100" w:afterAutospacing="1" w:line="240" w:lineRule="auto"/>
        <w:ind w:left="1440"/>
        <w:contextualSpacing/>
        <w:rPr>
          <w:rFonts w:asciiTheme="minorHAnsi" w:eastAsia="Times New Roman" w:hAnsiTheme="minorHAnsi" w:cstheme="minorHAnsi"/>
          <w:sz w:val="24"/>
          <w:szCs w:val="24"/>
        </w:rPr>
      </w:pPr>
      <w:r w:rsidRPr="004C35D5">
        <w:rPr>
          <w:rFonts w:asciiTheme="minorHAnsi" w:eastAsia="Times New Roman" w:hAnsiTheme="minorHAnsi" w:cstheme="minorHAnsi"/>
          <w:sz w:val="24"/>
          <w:szCs w:val="24"/>
        </w:rPr>
        <w:tab/>
      </w:r>
    </w:p>
    <w:p w:rsidR="00CF12AE" w:rsidRPr="004C35D5" w:rsidRDefault="00CF12AE" w:rsidP="00CF12AE">
      <w:pPr>
        <w:spacing w:before="100" w:beforeAutospacing="1" w:after="100" w:afterAutospacing="1" w:line="240" w:lineRule="auto"/>
        <w:ind w:left="2880" w:hanging="1440"/>
        <w:rPr>
          <w:rFonts w:asciiTheme="minorHAnsi" w:eastAsia="Times New Roman" w:hAnsiTheme="minorHAnsi" w:cstheme="minorHAnsi"/>
          <w:sz w:val="24"/>
          <w:szCs w:val="24"/>
        </w:rPr>
      </w:pPr>
      <w:r w:rsidRPr="004C35D5">
        <w:rPr>
          <w:rFonts w:asciiTheme="minorHAnsi" w:eastAsia="Times New Roman" w:hAnsiTheme="minorHAnsi" w:cstheme="minorHAnsi"/>
          <w:b/>
          <w:sz w:val="24"/>
          <w:szCs w:val="24"/>
          <w:u w:val="single"/>
        </w:rPr>
        <w:t>Response</w:t>
      </w:r>
      <w:r w:rsidRPr="004C35D5">
        <w:rPr>
          <w:rFonts w:asciiTheme="minorHAnsi" w:eastAsia="Times New Roman" w:hAnsiTheme="minorHAnsi" w:cstheme="minorHAnsi"/>
          <w:sz w:val="24"/>
          <w:szCs w:val="24"/>
        </w:rPr>
        <w:t>:</w:t>
      </w:r>
      <w:r w:rsidRPr="004C35D5">
        <w:rPr>
          <w:rFonts w:asciiTheme="minorHAnsi" w:eastAsia="Times New Roman" w:hAnsiTheme="minorHAnsi" w:cstheme="minorHAnsi"/>
          <w:sz w:val="24"/>
          <w:szCs w:val="24"/>
        </w:rPr>
        <w:tab/>
      </w:r>
      <w:r w:rsidR="00F64A38" w:rsidRPr="004C35D5">
        <w:rPr>
          <w:rFonts w:eastAsia="Times New Roman" w:cs="Calibri"/>
          <w:sz w:val="24"/>
          <w:szCs w:val="24"/>
        </w:rPr>
        <w:t>This information is confidential and cannot be disclosed</w:t>
      </w:r>
      <w:r w:rsidR="00822182" w:rsidRPr="004C35D5">
        <w:rPr>
          <w:rFonts w:eastAsia="Times New Roman" w:cs="Calibri"/>
          <w:sz w:val="24"/>
          <w:szCs w:val="24"/>
        </w:rPr>
        <w:t>.</w:t>
      </w:r>
    </w:p>
    <w:p w:rsidR="00CF12AE" w:rsidRPr="004C35D5" w:rsidRDefault="00CF12AE" w:rsidP="00CF12AE">
      <w:pPr>
        <w:numPr>
          <w:ilvl w:val="0"/>
          <w:numId w:val="2"/>
        </w:numPr>
        <w:spacing w:before="100" w:beforeAutospacing="1" w:after="100" w:afterAutospacing="1" w:line="240" w:lineRule="auto"/>
        <w:ind w:left="1440" w:hanging="720"/>
        <w:contextualSpacing/>
        <w:rPr>
          <w:rFonts w:asciiTheme="minorHAnsi" w:eastAsia="Times New Roman" w:hAnsiTheme="minorHAnsi" w:cstheme="minorHAnsi"/>
          <w:sz w:val="24"/>
          <w:szCs w:val="24"/>
        </w:rPr>
      </w:pPr>
      <w:r w:rsidRPr="004C35D5">
        <w:rPr>
          <w:rFonts w:asciiTheme="minorHAnsi" w:eastAsia="Times New Roman" w:hAnsiTheme="minorHAnsi" w:cstheme="minorHAnsi"/>
          <w:b/>
          <w:sz w:val="24"/>
          <w:szCs w:val="24"/>
          <w:u w:val="single"/>
        </w:rPr>
        <w:t>Question</w:t>
      </w:r>
      <w:r w:rsidRPr="004C35D5">
        <w:rPr>
          <w:rFonts w:asciiTheme="minorHAnsi" w:eastAsia="Times New Roman" w:hAnsiTheme="minorHAnsi" w:cstheme="minorHAnsi"/>
          <w:sz w:val="24"/>
          <w:szCs w:val="24"/>
        </w:rPr>
        <w:t>:</w:t>
      </w:r>
      <w:r w:rsidRPr="004C35D5">
        <w:rPr>
          <w:rFonts w:asciiTheme="minorHAnsi" w:eastAsia="Times New Roman" w:hAnsiTheme="minorHAnsi" w:cstheme="minorHAnsi"/>
          <w:sz w:val="24"/>
          <w:szCs w:val="24"/>
        </w:rPr>
        <w:tab/>
        <w:t xml:space="preserve">As the incumbent contractor, Xerox prevented over $200,000 of NSF check </w:t>
      </w:r>
    </w:p>
    <w:p w:rsidR="00CF12AE" w:rsidRPr="004C35D5" w:rsidRDefault="00CF12AE" w:rsidP="00F11A14">
      <w:pPr>
        <w:spacing w:before="100" w:beforeAutospacing="1" w:after="100" w:afterAutospacing="1" w:line="240" w:lineRule="auto"/>
        <w:ind w:left="2880"/>
        <w:contextualSpacing/>
        <w:rPr>
          <w:rFonts w:asciiTheme="minorHAnsi" w:eastAsia="Times New Roman" w:hAnsiTheme="minorHAnsi" w:cstheme="minorHAnsi"/>
          <w:sz w:val="24"/>
          <w:szCs w:val="24"/>
        </w:rPr>
      </w:pPr>
      <w:r w:rsidRPr="004C35D5">
        <w:rPr>
          <w:rFonts w:asciiTheme="minorHAnsi" w:eastAsia="Times New Roman" w:hAnsiTheme="minorHAnsi" w:cstheme="minorHAnsi"/>
          <w:sz w:val="24"/>
          <w:szCs w:val="24"/>
        </w:rPr>
        <w:t xml:space="preserve">returns last year by placing a “hold” on payments over $1,000 that did not match the support obligation amount until the item cleared at the bank. To prevent similar losses, would the State consider it acceptable for the contractor to arrange for third party guarantee on these items? If the guarantor refuses to provide a guarantee due to the remitter’s NSF history or known funds </w:t>
      </w:r>
      <w:r w:rsidR="001C6BE8" w:rsidRPr="004C35D5">
        <w:rPr>
          <w:rFonts w:asciiTheme="minorHAnsi" w:eastAsia="Times New Roman" w:hAnsiTheme="minorHAnsi" w:cstheme="minorHAnsi"/>
          <w:sz w:val="24"/>
          <w:szCs w:val="24"/>
        </w:rPr>
        <w:t>unavailability</w:t>
      </w:r>
      <w:r w:rsidRPr="004C35D5">
        <w:rPr>
          <w:rFonts w:asciiTheme="minorHAnsi" w:eastAsia="Times New Roman" w:hAnsiTheme="minorHAnsi" w:cstheme="minorHAnsi"/>
          <w:sz w:val="24"/>
          <w:szCs w:val="24"/>
        </w:rPr>
        <w:t xml:space="preserve"> would the State consider that acceptable cause to reject the payment and require the remitter to use certified funds? (RFP Section 3.5.3.I.2, p 46) </w:t>
      </w:r>
    </w:p>
    <w:p w:rsidR="00CF12AE" w:rsidRPr="004C35D5" w:rsidRDefault="00CF12AE" w:rsidP="00CF12AE">
      <w:pPr>
        <w:spacing w:before="100" w:beforeAutospacing="1" w:after="100" w:afterAutospacing="1" w:line="240" w:lineRule="auto"/>
        <w:ind w:left="1440"/>
        <w:contextualSpacing/>
        <w:rPr>
          <w:rFonts w:asciiTheme="minorHAnsi" w:eastAsia="Times New Roman" w:hAnsiTheme="minorHAnsi" w:cstheme="minorHAnsi"/>
          <w:sz w:val="24"/>
          <w:szCs w:val="24"/>
        </w:rPr>
      </w:pPr>
    </w:p>
    <w:p w:rsidR="00CF12AE" w:rsidRPr="004C35D5" w:rsidRDefault="00CF12AE" w:rsidP="00CF12AE">
      <w:pPr>
        <w:spacing w:before="100" w:beforeAutospacing="1" w:after="100" w:afterAutospacing="1" w:line="240" w:lineRule="auto"/>
        <w:ind w:left="2880" w:hanging="1440"/>
        <w:rPr>
          <w:rFonts w:asciiTheme="minorHAnsi" w:eastAsia="Times New Roman" w:hAnsiTheme="minorHAnsi" w:cstheme="minorHAnsi"/>
          <w:b/>
          <w:sz w:val="24"/>
          <w:szCs w:val="24"/>
        </w:rPr>
      </w:pPr>
      <w:r w:rsidRPr="004C35D5">
        <w:rPr>
          <w:rFonts w:asciiTheme="minorHAnsi" w:eastAsia="Times New Roman" w:hAnsiTheme="minorHAnsi" w:cstheme="minorHAnsi"/>
          <w:b/>
          <w:sz w:val="24"/>
          <w:szCs w:val="24"/>
          <w:u w:val="single"/>
        </w:rPr>
        <w:t>Response</w:t>
      </w:r>
      <w:r w:rsidRPr="004C35D5">
        <w:rPr>
          <w:rFonts w:asciiTheme="minorHAnsi" w:eastAsia="Times New Roman" w:hAnsiTheme="minorHAnsi" w:cstheme="minorHAnsi"/>
          <w:sz w:val="24"/>
          <w:szCs w:val="24"/>
        </w:rPr>
        <w:t>:</w:t>
      </w:r>
      <w:r w:rsidR="005A6EA7" w:rsidRPr="004C35D5">
        <w:rPr>
          <w:rFonts w:asciiTheme="minorHAnsi" w:eastAsia="Times New Roman" w:hAnsiTheme="minorHAnsi" w:cstheme="minorHAnsi"/>
          <w:sz w:val="24"/>
          <w:szCs w:val="24"/>
        </w:rPr>
        <w:tab/>
      </w:r>
      <w:r w:rsidR="0034722F" w:rsidRPr="004C35D5">
        <w:rPr>
          <w:rFonts w:asciiTheme="minorHAnsi" w:hAnsiTheme="minorHAnsi"/>
          <w:sz w:val="24"/>
          <w:szCs w:val="24"/>
          <w:shd w:val="clear" w:color="auto" w:fill="FFFFFF"/>
        </w:rPr>
        <w:t>It is up to the Offeror to propose solutions for handling payors with a history of NSF that complies with the requirements of the RFP.  Please note that the Department will finally determine which payor's payments may be rejected.  Also, a payor shall not be placed on the bad check list for the first NSF.</w:t>
      </w:r>
    </w:p>
    <w:p w:rsidR="00CF12AE" w:rsidRPr="004C35D5" w:rsidRDefault="00CF12AE" w:rsidP="00CF12AE">
      <w:pPr>
        <w:numPr>
          <w:ilvl w:val="0"/>
          <w:numId w:val="2"/>
        </w:numPr>
        <w:spacing w:before="100" w:beforeAutospacing="1" w:after="100" w:afterAutospacing="1" w:line="240" w:lineRule="auto"/>
        <w:ind w:left="2880" w:hanging="2160"/>
        <w:contextualSpacing/>
        <w:rPr>
          <w:rFonts w:asciiTheme="minorHAnsi" w:eastAsia="Times New Roman" w:hAnsiTheme="minorHAnsi" w:cstheme="minorHAnsi"/>
          <w:sz w:val="24"/>
          <w:szCs w:val="24"/>
        </w:rPr>
      </w:pPr>
      <w:r w:rsidRPr="004C35D5">
        <w:rPr>
          <w:rFonts w:asciiTheme="minorHAnsi" w:eastAsia="Times New Roman" w:hAnsiTheme="minorHAnsi" w:cstheme="minorHAnsi"/>
          <w:b/>
          <w:sz w:val="24"/>
          <w:szCs w:val="24"/>
          <w:u w:val="single"/>
        </w:rPr>
        <w:t>Question:</w:t>
      </w:r>
      <w:r w:rsidRPr="004C35D5">
        <w:rPr>
          <w:rFonts w:asciiTheme="minorHAnsi" w:eastAsia="Times New Roman" w:hAnsiTheme="minorHAnsi" w:cstheme="minorHAnsi"/>
          <w:b/>
          <w:sz w:val="24"/>
          <w:szCs w:val="24"/>
        </w:rPr>
        <w:tab/>
      </w:r>
      <w:r w:rsidRPr="004C35D5">
        <w:rPr>
          <w:rFonts w:asciiTheme="minorHAnsi" w:eastAsia="Times New Roman" w:hAnsiTheme="minorHAnsi" w:cstheme="minorHAnsi"/>
          <w:sz w:val="24"/>
          <w:szCs w:val="24"/>
        </w:rPr>
        <w:t xml:space="preserve">Based on RFP Sections 3.5.17 and 3.6 which states the “Contractor” not the “Offeror” must provide draft plans, would the State please confirm that draft plans other than the Security Plan and Staffing Management Plan are to be submitted after NTP rather than with the proposal? If this interpretation is not </w:t>
      </w:r>
      <w:r w:rsidRPr="004C35D5">
        <w:rPr>
          <w:rFonts w:asciiTheme="minorHAnsi" w:eastAsia="Times New Roman" w:hAnsiTheme="minorHAnsi" w:cstheme="minorHAnsi"/>
          <w:sz w:val="24"/>
          <w:szCs w:val="24"/>
        </w:rPr>
        <w:lastRenderedPageBreak/>
        <w:t>correct, please provide a list of any other draft plans that are expected with the Offeror’s proposal response?</w:t>
      </w:r>
    </w:p>
    <w:p w:rsidR="00CF12AE" w:rsidRPr="004C35D5" w:rsidRDefault="00CF12AE" w:rsidP="00CF12AE">
      <w:pPr>
        <w:spacing w:before="100" w:beforeAutospacing="1" w:after="100" w:afterAutospacing="1" w:line="240" w:lineRule="auto"/>
        <w:ind w:left="1440" w:hanging="720"/>
        <w:contextualSpacing/>
        <w:rPr>
          <w:rFonts w:asciiTheme="minorHAnsi" w:eastAsia="Times New Roman" w:hAnsiTheme="minorHAnsi" w:cstheme="minorHAnsi"/>
          <w:b/>
          <w:sz w:val="24"/>
          <w:szCs w:val="24"/>
        </w:rPr>
      </w:pPr>
    </w:p>
    <w:p w:rsidR="00CF12AE" w:rsidRPr="004C35D5" w:rsidRDefault="00CF12AE" w:rsidP="00CF12AE">
      <w:pPr>
        <w:spacing w:before="100" w:beforeAutospacing="1" w:after="100" w:afterAutospacing="1" w:line="240" w:lineRule="auto"/>
        <w:ind w:left="2880" w:hanging="1440"/>
        <w:rPr>
          <w:rFonts w:asciiTheme="minorHAnsi" w:eastAsia="Times New Roman" w:hAnsiTheme="minorHAnsi" w:cstheme="minorHAnsi"/>
          <w:sz w:val="24"/>
          <w:szCs w:val="24"/>
        </w:rPr>
      </w:pPr>
      <w:r w:rsidRPr="004C35D5">
        <w:rPr>
          <w:rFonts w:asciiTheme="minorHAnsi" w:eastAsia="Times New Roman" w:hAnsiTheme="minorHAnsi" w:cstheme="minorHAnsi"/>
          <w:b/>
          <w:sz w:val="24"/>
          <w:szCs w:val="24"/>
          <w:u w:val="single"/>
        </w:rPr>
        <w:t>Response</w:t>
      </w:r>
      <w:r w:rsidRPr="004C35D5">
        <w:rPr>
          <w:rFonts w:asciiTheme="minorHAnsi" w:eastAsia="Times New Roman" w:hAnsiTheme="minorHAnsi" w:cstheme="minorHAnsi"/>
          <w:sz w:val="24"/>
          <w:szCs w:val="24"/>
        </w:rPr>
        <w:t>:</w:t>
      </w:r>
      <w:r w:rsidR="00F64A38" w:rsidRPr="004C35D5">
        <w:rPr>
          <w:rFonts w:asciiTheme="minorHAnsi" w:eastAsia="Times New Roman" w:hAnsiTheme="minorHAnsi" w:cstheme="minorHAnsi"/>
          <w:sz w:val="24"/>
          <w:szCs w:val="24"/>
        </w:rPr>
        <w:tab/>
      </w:r>
      <w:r w:rsidR="002D1485" w:rsidRPr="004C35D5">
        <w:rPr>
          <w:rFonts w:asciiTheme="minorHAnsi" w:eastAsia="Times New Roman" w:hAnsiTheme="minorHAnsi" w:cstheme="minorHAnsi"/>
          <w:sz w:val="24"/>
          <w:szCs w:val="24"/>
        </w:rPr>
        <w:t>The only draft plan that Offerors need to provide with their technical proposals is the initial Staffing Plan.  See RFP Section 3.7.B.3.</w:t>
      </w:r>
    </w:p>
    <w:p w:rsidR="00CF12AE" w:rsidRPr="004C35D5" w:rsidRDefault="00CF12AE" w:rsidP="00CF12AE">
      <w:pPr>
        <w:numPr>
          <w:ilvl w:val="0"/>
          <w:numId w:val="2"/>
        </w:numPr>
        <w:spacing w:before="100" w:beforeAutospacing="1" w:after="100" w:afterAutospacing="1" w:line="240" w:lineRule="auto"/>
        <w:ind w:left="1440" w:hanging="720"/>
        <w:contextualSpacing/>
        <w:rPr>
          <w:rFonts w:asciiTheme="minorHAnsi" w:eastAsia="Times New Roman" w:hAnsiTheme="minorHAnsi" w:cstheme="minorHAnsi"/>
          <w:sz w:val="24"/>
          <w:szCs w:val="24"/>
        </w:rPr>
      </w:pPr>
      <w:r w:rsidRPr="004C35D5">
        <w:rPr>
          <w:rFonts w:asciiTheme="minorHAnsi" w:eastAsia="Times New Roman" w:hAnsiTheme="minorHAnsi" w:cstheme="minorHAnsi"/>
          <w:b/>
          <w:sz w:val="24"/>
          <w:szCs w:val="24"/>
          <w:u w:val="single"/>
        </w:rPr>
        <w:t>Question</w:t>
      </w:r>
      <w:r w:rsidRPr="004C35D5">
        <w:rPr>
          <w:rFonts w:asciiTheme="minorHAnsi" w:eastAsia="Times New Roman" w:hAnsiTheme="minorHAnsi" w:cstheme="minorHAnsi"/>
          <w:sz w:val="24"/>
          <w:szCs w:val="24"/>
        </w:rPr>
        <w:t>:</w:t>
      </w:r>
      <w:r w:rsidRPr="004C35D5">
        <w:rPr>
          <w:rFonts w:asciiTheme="minorHAnsi" w:eastAsia="Times New Roman" w:hAnsiTheme="minorHAnsi" w:cstheme="minorHAnsi"/>
          <w:sz w:val="24"/>
          <w:szCs w:val="24"/>
        </w:rPr>
        <w:tab/>
        <w:t xml:space="preserve">In Section 4.1 and 4.2, the RFP states price is to be in a separate envelope from </w:t>
      </w:r>
    </w:p>
    <w:p w:rsidR="00CF12AE" w:rsidRPr="004C35D5" w:rsidRDefault="00CF12AE" w:rsidP="00CF12AE">
      <w:pPr>
        <w:spacing w:before="100" w:beforeAutospacing="1" w:after="100" w:afterAutospacing="1" w:line="240" w:lineRule="auto"/>
        <w:ind w:left="2880"/>
        <w:contextualSpacing/>
        <w:rPr>
          <w:rFonts w:asciiTheme="minorHAnsi" w:eastAsia="Times New Roman" w:hAnsiTheme="minorHAnsi" w:cstheme="minorHAnsi"/>
          <w:sz w:val="24"/>
          <w:szCs w:val="24"/>
        </w:rPr>
      </w:pPr>
      <w:r w:rsidRPr="004C35D5">
        <w:rPr>
          <w:rFonts w:asciiTheme="minorHAnsi" w:eastAsia="Times New Roman" w:hAnsiTheme="minorHAnsi" w:cstheme="minorHAnsi"/>
          <w:sz w:val="24"/>
          <w:szCs w:val="24"/>
        </w:rPr>
        <w:t>the technical proposal. In Sections 3.10 Task Orders, the RFP states “To establish rates for TO Services, the Offeror shall provide in their proposal fully loaded maximum hourly rates for the Offeror’s Key Personnel and all other personnel ass</w:t>
      </w:r>
      <w:r w:rsidR="002248C5" w:rsidRPr="004C35D5">
        <w:rPr>
          <w:rFonts w:asciiTheme="minorHAnsi" w:eastAsia="Times New Roman" w:hAnsiTheme="minorHAnsi" w:cstheme="minorHAnsi"/>
          <w:sz w:val="24"/>
          <w:szCs w:val="24"/>
        </w:rPr>
        <w:t xml:space="preserve">igned to the SDU project.” </w:t>
      </w:r>
    </w:p>
    <w:p w:rsidR="00CF12AE" w:rsidRPr="004C35D5" w:rsidRDefault="00CF12AE" w:rsidP="00CF12AE">
      <w:pPr>
        <w:spacing w:before="100" w:beforeAutospacing="1" w:after="100" w:afterAutospacing="1" w:line="240" w:lineRule="auto"/>
        <w:ind w:left="2880"/>
        <w:contextualSpacing/>
        <w:rPr>
          <w:rFonts w:asciiTheme="minorHAnsi" w:eastAsia="Times New Roman" w:hAnsiTheme="minorHAnsi" w:cstheme="minorHAnsi"/>
          <w:sz w:val="24"/>
          <w:szCs w:val="24"/>
        </w:rPr>
      </w:pPr>
      <w:r w:rsidRPr="004C35D5">
        <w:rPr>
          <w:rFonts w:asciiTheme="minorHAnsi" w:eastAsia="Times New Roman" w:hAnsiTheme="minorHAnsi" w:cstheme="minorHAnsi"/>
          <w:sz w:val="24"/>
          <w:szCs w:val="24"/>
        </w:rPr>
        <w:t xml:space="preserve"> </w:t>
      </w:r>
    </w:p>
    <w:p w:rsidR="00CF12AE" w:rsidRPr="004C35D5" w:rsidRDefault="00CF12AE" w:rsidP="00CF12AE">
      <w:pPr>
        <w:spacing w:before="100" w:beforeAutospacing="1" w:after="100" w:afterAutospacing="1" w:line="240" w:lineRule="auto"/>
        <w:ind w:left="2880" w:hanging="1440"/>
        <w:rPr>
          <w:rFonts w:asciiTheme="minorHAnsi" w:eastAsia="Times New Roman" w:hAnsiTheme="minorHAnsi" w:cstheme="minorHAnsi"/>
          <w:sz w:val="24"/>
          <w:szCs w:val="24"/>
        </w:rPr>
      </w:pPr>
      <w:r w:rsidRPr="004C35D5">
        <w:rPr>
          <w:rFonts w:asciiTheme="minorHAnsi" w:eastAsia="Times New Roman" w:hAnsiTheme="minorHAnsi" w:cstheme="minorHAnsi"/>
          <w:b/>
          <w:sz w:val="24"/>
          <w:szCs w:val="24"/>
          <w:u w:val="single"/>
        </w:rPr>
        <w:t>Response</w:t>
      </w:r>
      <w:r w:rsidRPr="004C35D5">
        <w:rPr>
          <w:rFonts w:asciiTheme="minorHAnsi" w:eastAsia="Times New Roman" w:hAnsiTheme="minorHAnsi" w:cstheme="minorHAnsi"/>
          <w:sz w:val="24"/>
          <w:szCs w:val="24"/>
        </w:rPr>
        <w:t>:</w:t>
      </w:r>
      <w:r w:rsidRPr="004C35D5">
        <w:rPr>
          <w:rFonts w:asciiTheme="minorHAnsi" w:eastAsia="Times New Roman" w:hAnsiTheme="minorHAnsi" w:cstheme="minorHAnsi"/>
          <w:sz w:val="24"/>
          <w:szCs w:val="24"/>
        </w:rPr>
        <w:tab/>
      </w:r>
      <w:r w:rsidR="002D1485" w:rsidRPr="004C35D5">
        <w:rPr>
          <w:rFonts w:asciiTheme="minorHAnsi" w:hAnsiTheme="minorHAnsi" w:cs="Arial"/>
          <w:sz w:val="24"/>
          <w:szCs w:val="24"/>
          <w:shd w:val="clear" w:color="auto" w:fill="FFFFFF"/>
        </w:rPr>
        <w:t>Offerors should not include any pricing information in their technical proposals. All pricing information should be in the financial proposal per Section 4.1</w:t>
      </w:r>
      <w:r w:rsidR="004C35D5">
        <w:rPr>
          <w:rFonts w:asciiTheme="minorHAnsi" w:hAnsiTheme="minorHAnsi" w:cs="Arial"/>
          <w:sz w:val="24"/>
          <w:szCs w:val="24"/>
          <w:shd w:val="clear" w:color="auto" w:fill="FFFFFF"/>
        </w:rPr>
        <w:t>.</w:t>
      </w:r>
      <w:r w:rsidR="002D1485" w:rsidRPr="004C35D5">
        <w:rPr>
          <w:rFonts w:asciiTheme="minorHAnsi" w:hAnsiTheme="minorHAnsi" w:cs="Arial"/>
          <w:sz w:val="24"/>
          <w:szCs w:val="24"/>
          <w:shd w:val="clear" w:color="auto" w:fill="FFFFFF"/>
        </w:rPr>
        <w:t xml:space="preserve"> Section 3.10 of the RFP requests pricing for the Key Personnel for Task Orders. The price proposal, Attachment A, identifies the Key Personnel and Offerors have to provide the fully loaded hourly rates for each.</w:t>
      </w:r>
      <w:r w:rsidR="002D1485" w:rsidRPr="004C35D5">
        <w:rPr>
          <w:rFonts w:ascii="Arial" w:hAnsi="Arial" w:cs="Arial"/>
          <w:sz w:val="16"/>
          <w:szCs w:val="16"/>
          <w:shd w:val="clear" w:color="auto" w:fill="FFFFFF"/>
        </w:rPr>
        <w:t> </w:t>
      </w:r>
    </w:p>
    <w:p w:rsidR="00487E30" w:rsidRPr="004C35D5" w:rsidRDefault="00487E30" w:rsidP="00487E30">
      <w:pPr>
        <w:pStyle w:val="NoSpacing"/>
        <w:rPr>
          <w:rFonts w:asciiTheme="minorHAnsi" w:hAnsiTheme="minorHAnsi" w:cstheme="minorHAnsi"/>
          <w:sz w:val="24"/>
          <w:szCs w:val="24"/>
        </w:rPr>
      </w:pPr>
      <w:r w:rsidRPr="004C35D5">
        <w:rPr>
          <w:b/>
        </w:rPr>
        <w:tab/>
        <w:t>47.</w:t>
      </w:r>
      <w:r w:rsidRPr="004C35D5">
        <w:rPr>
          <w:b/>
        </w:rPr>
        <w:tab/>
      </w:r>
      <w:r w:rsidRPr="004C35D5">
        <w:rPr>
          <w:b/>
          <w:u w:val="single"/>
        </w:rPr>
        <w:t>Question</w:t>
      </w:r>
      <w:r w:rsidRPr="004C35D5">
        <w:rPr>
          <w:b/>
        </w:rPr>
        <w:t>:</w:t>
      </w:r>
      <w:r w:rsidRPr="004C35D5">
        <w:rPr>
          <w:b/>
        </w:rPr>
        <w:tab/>
      </w:r>
      <w:r w:rsidRPr="004C35D5">
        <w:rPr>
          <w:rFonts w:asciiTheme="minorHAnsi" w:hAnsiTheme="minorHAnsi" w:cstheme="minorHAnsi"/>
          <w:sz w:val="24"/>
          <w:szCs w:val="24"/>
        </w:rPr>
        <w:t>In this section of the RFP, there is a Section 3.5 Requirements followed by items</w:t>
      </w:r>
    </w:p>
    <w:p w:rsidR="00487E30" w:rsidRPr="004C35D5" w:rsidRDefault="00487E30" w:rsidP="00487E30">
      <w:pPr>
        <w:pStyle w:val="NoSpacing"/>
        <w:rPr>
          <w:rFonts w:asciiTheme="minorHAnsi" w:hAnsiTheme="minorHAnsi" w:cstheme="minorHAnsi"/>
          <w:sz w:val="24"/>
          <w:szCs w:val="24"/>
        </w:rPr>
      </w:pPr>
      <w:r w:rsidRPr="004C35D5">
        <w:rPr>
          <w:rFonts w:asciiTheme="minorHAnsi" w:hAnsiTheme="minorHAnsi" w:cstheme="minorHAnsi"/>
          <w:sz w:val="24"/>
          <w:szCs w:val="24"/>
        </w:rPr>
        <w:tab/>
      </w:r>
      <w:r w:rsidRPr="004C35D5">
        <w:rPr>
          <w:rFonts w:asciiTheme="minorHAnsi" w:hAnsiTheme="minorHAnsi" w:cstheme="minorHAnsi"/>
          <w:sz w:val="24"/>
          <w:szCs w:val="24"/>
        </w:rPr>
        <w:tab/>
      </w:r>
      <w:r w:rsidRPr="004C35D5">
        <w:rPr>
          <w:rFonts w:asciiTheme="minorHAnsi" w:hAnsiTheme="minorHAnsi" w:cstheme="minorHAnsi"/>
          <w:sz w:val="24"/>
          <w:szCs w:val="24"/>
        </w:rPr>
        <w:tab/>
      </w:r>
      <w:r w:rsidRPr="004C35D5">
        <w:rPr>
          <w:rFonts w:asciiTheme="minorHAnsi" w:hAnsiTheme="minorHAnsi" w:cstheme="minorHAnsi"/>
          <w:sz w:val="24"/>
          <w:szCs w:val="24"/>
        </w:rPr>
        <w:tab/>
        <w:t xml:space="preserve">found in RFP Section 3.5 followed by Section 3.5 Scope. Should the first </w:t>
      </w:r>
    </w:p>
    <w:p w:rsidR="00A33EB0" w:rsidRPr="004C35D5" w:rsidRDefault="00487E30" w:rsidP="00487E30">
      <w:pPr>
        <w:pStyle w:val="NoSpacing"/>
        <w:rPr>
          <w:rFonts w:asciiTheme="minorHAnsi" w:hAnsiTheme="minorHAnsi" w:cstheme="minorHAnsi"/>
          <w:sz w:val="24"/>
          <w:szCs w:val="24"/>
        </w:rPr>
      </w:pPr>
      <w:r w:rsidRPr="004C35D5">
        <w:rPr>
          <w:rFonts w:asciiTheme="minorHAnsi" w:hAnsiTheme="minorHAnsi" w:cstheme="minorHAnsi"/>
          <w:sz w:val="24"/>
          <w:szCs w:val="24"/>
        </w:rPr>
        <w:tab/>
      </w:r>
      <w:r w:rsidRPr="004C35D5">
        <w:rPr>
          <w:rFonts w:asciiTheme="minorHAnsi" w:hAnsiTheme="minorHAnsi" w:cstheme="minorHAnsi"/>
          <w:sz w:val="24"/>
          <w:szCs w:val="24"/>
        </w:rPr>
        <w:tab/>
      </w:r>
      <w:r w:rsidRPr="004C35D5">
        <w:rPr>
          <w:rFonts w:asciiTheme="minorHAnsi" w:hAnsiTheme="minorHAnsi" w:cstheme="minorHAnsi"/>
          <w:sz w:val="24"/>
          <w:szCs w:val="24"/>
        </w:rPr>
        <w:tab/>
      </w:r>
      <w:r w:rsidRPr="004C35D5">
        <w:rPr>
          <w:rFonts w:asciiTheme="minorHAnsi" w:hAnsiTheme="minorHAnsi" w:cstheme="minorHAnsi"/>
          <w:sz w:val="24"/>
          <w:szCs w:val="24"/>
        </w:rPr>
        <w:tab/>
        <w:t>reference</w:t>
      </w:r>
      <w:r w:rsidR="00A33EB0" w:rsidRPr="004C35D5">
        <w:rPr>
          <w:rFonts w:asciiTheme="minorHAnsi" w:hAnsiTheme="minorHAnsi" w:cstheme="minorHAnsi"/>
          <w:sz w:val="24"/>
          <w:szCs w:val="24"/>
        </w:rPr>
        <w:t xml:space="preserve"> to Section 3.5 be Scope instead of Requirements? Should 3.4 </w:t>
      </w:r>
    </w:p>
    <w:p w:rsidR="00487E30" w:rsidRPr="004C35D5" w:rsidRDefault="00A33EB0" w:rsidP="00487E30">
      <w:pPr>
        <w:pStyle w:val="NoSpacing"/>
        <w:rPr>
          <w:rFonts w:asciiTheme="minorHAnsi" w:hAnsiTheme="minorHAnsi" w:cstheme="minorHAnsi"/>
          <w:sz w:val="24"/>
          <w:szCs w:val="24"/>
        </w:rPr>
      </w:pPr>
      <w:r w:rsidRPr="004C35D5">
        <w:rPr>
          <w:rFonts w:asciiTheme="minorHAnsi" w:hAnsiTheme="minorHAnsi" w:cstheme="minorHAnsi"/>
          <w:sz w:val="24"/>
          <w:szCs w:val="24"/>
        </w:rPr>
        <w:tab/>
      </w:r>
      <w:r w:rsidRPr="004C35D5">
        <w:rPr>
          <w:rFonts w:asciiTheme="minorHAnsi" w:hAnsiTheme="minorHAnsi" w:cstheme="minorHAnsi"/>
          <w:sz w:val="24"/>
          <w:szCs w:val="24"/>
        </w:rPr>
        <w:tab/>
      </w:r>
      <w:r w:rsidRPr="004C35D5">
        <w:rPr>
          <w:rFonts w:asciiTheme="minorHAnsi" w:hAnsiTheme="minorHAnsi" w:cstheme="minorHAnsi"/>
          <w:sz w:val="24"/>
          <w:szCs w:val="24"/>
        </w:rPr>
        <w:tab/>
      </w:r>
      <w:r w:rsidRPr="004C35D5">
        <w:rPr>
          <w:rFonts w:asciiTheme="minorHAnsi" w:hAnsiTheme="minorHAnsi" w:cstheme="minorHAnsi"/>
          <w:sz w:val="24"/>
          <w:szCs w:val="24"/>
        </w:rPr>
        <w:tab/>
        <w:t>Requirements be associated with 4.2.E? (RFP Section 4.2.D – Proposed Services)</w:t>
      </w:r>
      <w:r w:rsidR="00487E30" w:rsidRPr="004C35D5">
        <w:rPr>
          <w:rFonts w:asciiTheme="minorHAnsi" w:hAnsiTheme="minorHAnsi" w:cstheme="minorHAnsi"/>
          <w:sz w:val="24"/>
          <w:szCs w:val="24"/>
        </w:rPr>
        <w:t xml:space="preserve"> </w:t>
      </w:r>
    </w:p>
    <w:p w:rsidR="00487E30" w:rsidRPr="004C35D5" w:rsidRDefault="00487E30" w:rsidP="00487E30">
      <w:pPr>
        <w:pStyle w:val="NoSpacing"/>
        <w:ind w:left="720" w:firstLine="2160"/>
        <w:rPr>
          <w:rFonts w:asciiTheme="minorHAnsi" w:hAnsiTheme="minorHAnsi" w:cstheme="minorHAnsi"/>
          <w:sz w:val="24"/>
          <w:szCs w:val="24"/>
        </w:rPr>
      </w:pPr>
    </w:p>
    <w:p w:rsidR="00487E30" w:rsidRPr="004C35D5" w:rsidRDefault="00487E30" w:rsidP="00487E30">
      <w:pPr>
        <w:pStyle w:val="NoSpacing"/>
      </w:pPr>
      <w:r w:rsidRPr="004C35D5">
        <w:tab/>
      </w:r>
      <w:r w:rsidRPr="004C35D5">
        <w:tab/>
      </w:r>
      <w:r w:rsidRPr="004C35D5">
        <w:rPr>
          <w:rFonts w:asciiTheme="minorHAnsi" w:eastAsia="Times New Roman" w:hAnsiTheme="minorHAnsi" w:cstheme="minorHAnsi"/>
          <w:b/>
          <w:sz w:val="24"/>
          <w:szCs w:val="24"/>
          <w:u w:val="single"/>
        </w:rPr>
        <w:t>Response</w:t>
      </w:r>
      <w:r w:rsidRPr="004C35D5">
        <w:rPr>
          <w:rFonts w:asciiTheme="minorHAnsi" w:eastAsia="Times New Roman" w:hAnsiTheme="minorHAnsi" w:cstheme="minorHAnsi"/>
          <w:sz w:val="24"/>
          <w:szCs w:val="24"/>
        </w:rPr>
        <w:t>:</w:t>
      </w:r>
      <w:r w:rsidRPr="004C35D5">
        <w:tab/>
      </w:r>
      <w:r w:rsidRPr="004C35D5">
        <w:rPr>
          <w:rFonts w:asciiTheme="minorHAnsi" w:hAnsiTheme="minorHAnsi" w:cstheme="minorHAnsi"/>
          <w:sz w:val="24"/>
          <w:szCs w:val="24"/>
        </w:rPr>
        <w:t>In 4.2.D, the first reference to Section 3.5 lists an incorrect title, Section 3.5</w:t>
      </w:r>
      <w:r w:rsidRPr="004C35D5">
        <w:t xml:space="preserve"> </w:t>
      </w:r>
    </w:p>
    <w:p w:rsidR="00487E30" w:rsidRPr="004C35D5" w:rsidRDefault="00487E30" w:rsidP="00487E30">
      <w:pPr>
        <w:pStyle w:val="NoSpacing"/>
        <w:ind w:left="720" w:firstLine="2160"/>
        <w:rPr>
          <w:rFonts w:asciiTheme="minorHAnsi" w:hAnsiTheme="minorHAnsi" w:cstheme="minorHAnsi"/>
          <w:sz w:val="24"/>
          <w:szCs w:val="24"/>
        </w:rPr>
      </w:pPr>
      <w:r w:rsidRPr="004C35D5">
        <w:rPr>
          <w:rFonts w:asciiTheme="minorHAnsi" w:hAnsiTheme="minorHAnsi" w:cstheme="minorHAnsi"/>
          <w:sz w:val="24"/>
          <w:szCs w:val="24"/>
        </w:rPr>
        <w:t>refers to the Scope o</w:t>
      </w:r>
      <w:r w:rsidR="002D1485" w:rsidRPr="004C35D5">
        <w:rPr>
          <w:rFonts w:asciiTheme="minorHAnsi" w:hAnsiTheme="minorHAnsi" w:cstheme="minorHAnsi"/>
          <w:sz w:val="24"/>
          <w:szCs w:val="24"/>
        </w:rPr>
        <w:t>f the Project, not Requirements.</w:t>
      </w:r>
      <w:r w:rsidRPr="004C35D5">
        <w:rPr>
          <w:rFonts w:asciiTheme="minorHAnsi" w:hAnsiTheme="minorHAnsi" w:cstheme="minorHAnsi"/>
          <w:sz w:val="24"/>
          <w:szCs w:val="24"/>
        </w:rPr>
        <w:t xml:space="preserve"> (See Amendment #1)</w:t>
      </w:r>
    </w:p>
    <w:p w:rsidR="00487E30" w:rsidRPr="004C35D5" w:rsidRDefault="00487E30" w:rsidP="00487E30">
      <w:pPr>
        <w:pStyle w:val="NoSpacing"/>
        <w:ind w:left="2160" w:firstLine="720"/>
      </w:pPr>
      <w:r w:rsidRPr="004C35D5">
        <w:rPr>
          <w:rFonts w:asciiTheme="minorHAnsi" w:hAnsiTheme="minorHAnsi" w:cstheme="minorHAnsi"/>
          <w:sz w:val="24"/>
          <w:szCs w:val="24"/>
        </w:rPr>
        <w:t>The requirements listed in Section 3.4 should be associated with Section 4.2.E.</w:t>
      </w:r>
    </w:p>
    <w:p w:rsidR="00CF12AE" w:rsidRPr="004C35D5" w:rsidRDefault="00CF12AE" w:rsidP="00487E30">
      <w:pPr>
        <w:numPr>
          <w:ilvl w:val="0"/>
          <w:numId w:val="8"/>
        </w:numPr>
        <w:spacing w:before="100" w:beforeAutospacing="1" w:after="100" w:afterAutospacing="1" w:line="240" w:lineRule="auto"/>
        <w:ind w:left="1440" w:hanging="720"/>
        <w:contextualSpacing/>
        <w:rPr>
          <w:rFonts w:asciiTheme="minorHAnsi" w:eastAsia="Times New Roman" w:hAnsiTheme="minorHAnsi" w:cstheme="minorHAnsi"/>
          <w:sz w:val="24"/>
          <w:szCs w:val="24"/>
        </w:rPr>
      </w:pPr>
      <w:r w:rsidRPr="004C35D5">
        <w:rPr>
          <w:rFonts w:asciiTheme="minorHAnsi" w:eastAsia="Times New Roman" w:hAnsiTheme="minorHAnsi" w:cstheme="minorHAnsi"/>
          <w:b/>
          <w:sz w:val="24"/>
          <w:szCs w:val="24"/>
          <w:u w:val="single"/>
        </w:rPr>
        <w:t>Question</w:t>
      </w:r>
      <w:r w:rsidRPr="004C35D5">
        <w:rPr>
          <w:rFonts w:asciiTheme="minorHAnsi" w:eastAsia="Times New Roman" w:hAnsiTheme="minorHAnsi" w:cstheme="minorHAnsi"/>
          <w:sz w:val="24"/>
          <w:szCs w:val="24"/>
        </w:rPr>
        <w:t>:</w:t>
      </w:r>
      <w:r w:rsidRPr="004C35D5">
        <w:rPr>
          <w:rFonts w:asciiTheme="minorHAnsi" w:eastAsia="Times New Roman" w:hAnsiTheme="minorHAnsi" w:cstheme="minorHAnsi"/>
          <w:sz w:val="24"/>
          <w:szCs w:val="24"/>
        </w:rPr>
        <w:tab/>
      </w:r>
      <w:r w:rsidR="00FA0AFD" w:rsidRPr="004C35D5">
        <w:rPr>
          <w:rFonts w:asciiTheme="minorHAnsi" w:eastAsia="Times New Roman" w:hAnsiTheme="minorHAnsi" w:cstheme="minorHAnsi"/>
          <w:sz w:val="24"/>
          <w:szCs w:val="24"/>
        </w:rPr>
        <w:t xml:space="preserve">Item N repeats text from Item F, can N be deleted? If not, please clarify (RFP </w:t>
      </w:r>
    </w:p>
    <w:p w:rsidR="00FA0AFD" w:rsidRPr="004C35D5" w:rsidRDefault="00FA0AFD" w:rsidP="00FA0AFD">
      <w:pPr>
        <w:spacing w:before="100" w:beforeAutospacing="1" w:after="100" w:afterAutospacing="1" w:line="240" w:lineRule="auto"/>
        <w:ind w:left="2880"/>
        <w:contextualSpacing/>
        <w:rPr>
          <w:rFonts w:asciiTheme="minorHAnsi" w:eastAsia="Times New Roman" w:hAnsiTheme="minorHAnsi" w:cstheme="minorHAnsi"/>
          <w:sz w:val="24"/>
          <w:szCs w:val="24"/>
        </w:rPr>
      </w:pPr>
      <w:r w:rsidRPr="004C35D5">
        <w:rPr>
          <w:rFonts w:asciiTheme="minorHAnsi" w:eastAsia="Times New Roman" w:hAnsiTheme="minorHAnsi" w:cstheme="minorHAnsi"/>
          <w:sz w:val="24"/>
          <w:szCs w:val="24"/>
        </w:rPr>
        <w:t>Section 3.5.14, p 57-58)</w:t>
      </w:r>
    </w:p>
    <w:p w:rsidR="00CF12AE" w:rsidRPr="004C35D5" w:rsidRDefault="00CF12AE" w:rsidP="00FA0AFD">
      <w:pPr>
        <w:spacing w:before="100" w:beforeAutospacing="1" w:after="100" w:afterAutospacing="1" w:line="240" w:lineRule="auto"/>
        <w:ind w:left="2880"/>
        <w:contextualSpacing/>
        <w:rPr>
          <w:rFonts w:asciiTheme="minorHAnsi" w:eastAsia="Times New Roman" w:hAnsiTheme="minorHAnsi" w:cstheme="minorHAnsi"/>
          <w:sz w:val="24"/>
          <w:szCs w:val="24"/>
        </w:rPr>
      </w:pPr>
      <w:r w:rsidRPr="004C35D5">
        <w:rPr>
          <w:rFonts w:asciiTheme="minorHAnsi" w:eastAsia="Times New Roman" w:hAnsiTheme="minorHAnsi" w:cstheme="minorHAnsi"/>
          <w:sz w:val="24"/>
          <w:szCs w:val="24"/>
        </w:rPr>
        <w:t xml:space="preserve"> </w:t>
      </w:r>
    </w:p>
    <w:p w:rsidR="00CF12AE" w:rsidRPr="004C35D5" w:rsidRDefault="00CF12AE" w:rsidP="00CF12AE">
      <w:pPr>
        <w:spacing w:before="100" w:beforeAutospacing="1" w:after="100" w:afterAutospacing="1" w:line="240" w:lineRule="auto"/>
        <w:ind w:left="2880" w:hanging="1440"/>
        <w:rPr>
          <w:rFonts w:asciiTheme="minorHAnsi" w:eastAsia="Times New Roman" w:hAnsiTheme="minorHAnsi" w:cstheme="minorHAnsi"/>
          <w:b/>
          <w:sz w:val="24"/>
          <w:szCs w:val="24"/>
        </w:rPr>
      </w:pPr>
      <w:r w:rsidRPr="004C35D5">
        <w:rPr>
          <w:rFonts w:asciiTheme="minorHAnsi" w:eastAsia="Times New Roman" w:hAnsiTheme="minorHAnsi" w:cstheme="minorHAnsi"/>
          <w:b/>
          <w:sz w:val="24"/>
          <w:szCs w:val="24"/>
          <w:u w:val="single"/>
        </w:rPr>
        <w:t>Response</w:t>
      </w:r>
      <w:r w:rsidRPr="004C35D5">
        <w:rPr>
          <w:rFonts w:asciiTheme="minorHAnsi" w:eastAsia="Times New Roman" w:hAnsiTheme="minorHAnsi" w:cstheme="minorHAnsi"/>
          <w:sz w:val="24"/>
          <w:szCs w:val="24"/>
        </w:rPr>
        <w:t>:</w:t>
      </w:r>
      <w:r w:rsidRPr="004C35D5">
        <w:rPr>
          <w:rFonts w:asciiTheme="minorHAnsi" w:eastAsia="Times New Roman" w:hAnsiTheme="minorHAnsi" w:cstheme="minorHAnsi"/>
          <w:sz w:val="24"/>
          <w:szCs w:val="24"/>
        </w:rPr>
        <w:tab/>
      </w:r>
      <w:r w:rsidR="002D1485" w:rsidRPr="004C35D5">
        <w:rPr>
          <w:rFonts w:asciiTheme="minorHAnsi" w:eastAsia="Times New Roman" w:hAnsiTheme="minorHAnsi" w:cstheme="minorHAnsi"/>
          <w:sz w:val="24"/>
          <w:szCs w:val="24"/>
        </w:rPr>
        <w:t>This section was revised to delete item N.  Please see Amendment #1.</w:t>
      </w:r>
    </w:p>
    <w:p w:rsidR="00CF12AE" w:rsidRPr="004C35D5" w:rsidRDefault="00CF12AE" w:rsidP="00487E30">
      <w:pPr>
        <w:numPr>
          <w:ilvl w:val="0"/>
          <w:numId w:val="8"/>
        </w:numPr>
        <w:spacing w:before="100" w:beforeAutospacing="1" w:after="100" w:afterAutospacing="1" w:line="240" w:lineRule="auto"/>
        <w:ind w:left="1440" w:hanging="720"/>
        <w:contextualSpacing/>
        <w:rPr>
          <w:rFonts w:asciiTheme="minorHAnsi" w:eastAsia="Times New Roman" w:hAnsiTheme="minorHAnsi" w:cstheme="minorHAnsi"/>
          <w:sz w:val="24"/>
          <w:szCs w:val="24"/>
        </w:rPr>
      </w:pPr>
      <w:r w:rsidRPr="004C35D5">
        <w:rPr>
          <w:rFonts w:asciiTheme="minorHAnsi" w:eastAsia="Times New Roman" w:hAnsiTheme="minorHAnsi" w:cstheme="minorHAnsi"/>
          <w:b/>
          <w:sz w:val="24"/>
          <w:szCs w:val="24"/>
          <w:u w:val="single"/>
        </w:rPr>
        <w:t>Question</w:t>
      </w:r>
      <w:r w:rsidRPr="004C35D5">
        <w:rPr>
          <w:rFonts w:asciiTheme="minorHAnsi" w:eastAsia="Times New Roman" w:hAnsiTheme="minorHAnsi" w:cstheme="minorHAnsi"/>
          <w:sz w:val="24"/>
          <w:szCs w:val="24"/>
        </w:rPr>
        <w:t>:</w:t>
      </w:r>
      <w:r w:rsidRPr="004C35D5">
        <w:rPr>
          <w:rFonts w:asciiTheme="minorHAnsi" w:eastAsia="Times New Roman" w:hAnsiTheme="minorHAnsi" w:cstheme="minorHAnsi"/>
          <w:sz w:val="24"/>
          <w:szCs w:val="24"/>
        </w:rPr>
        <w:tab/>
      </w:r>
      <w:r w:rsidR="00FA0AFD" w:rsidRPr="004C35D5">
        <w:rPr>
          <w:rFonts w:asciiTheme="minorHAnsi" w:eastAsia="Times New Roman" w:hAnsiTheme="minorHAnsi" w:cstheme="minorHAnsi"/>
          <w:sz w:val="24"/>
          <w:szCs w:val="24"/>
        </w:rPr>
        <w:t xml:space="preserve">It C, “Service Levels and Performance Standards” points to section 3.5.27.J. </w:t>
      </w:r>
    </w:p>
    <w:p w:rsidR="00FA0AFD" w:rsidRPr="004C35D5" w:rsidRDefault="00FA0AFD" w:rsidP="00FA0AFD">
      <w:pPr>
        <w:spacing w:before="100" w:beforeAutospacing="1" w:after="100" w:afterAutospacing="1" w:line="240" w:lineRule="auto"/>
        <w:ind w:left="2880"/>
        <w:contextualSpacing/>
        <w:rPr>
          <w:rFonts w:asciiTheme="minorHAnsi" w:eastAsia="Times New Roman" w:hAnsiTheme="minorHAnsi" w:cstheme="minorHAnsi"/>
          <w:sz w:val="24"/>
          <w:szCs w:val="24"/>
        </w:rPr>
      </w:pPr>
      <w:r w:rsidRPr="004C35D5">
        <w:rPr>
          <w:rFonts w:asciiTheme="minorHAnsi" w:eastAsia="Times New Roman" w:hAnsiTheme="minorHAnsi" w:cstheme="minorHAnsi"/>
          <w:sz w:val="24"/>
          <w:szCs w:val="24"/>
        </w:rPr>
        <w:t>There is no section 3.5.27. Should this be 3.5.26.J? (RFP Section 4.2.D, p 89)</w:t>
      </w:r>
    </w:p>
    <w:p w:rsidR="00CF12AE" w:rsidRPr="004C35D5" w:rsidRDefault="00CF12AE" w:rsidP="00FA0AFD">
      <w:pPr>
        <w:spacing w:before="100" w:beforeAutospacing="1" w:after="100" w:afterAutospacing="1" w:line="240" w:lineRule="auto"/>
        <w:ind w:left="2880"/>
        <w:contextualSpacing/>
        <w:rPr>
          <w:rFonts w:asciiTheme="minorHAnsi" w:eastAsia="Times New Roman" w:hAnsiTheme="minorHAnsi" w:cstheme="minorHAnsi"/>
          <w:sz w:val="24"/>
          <w:szCs w:val="24"/>
        </w:rPr>
      </w:pPr>
      <w:r w:rsidRPr="004C35D5">
        <w:rPr>
          <w:rFonts w:asciiTheme="minorHAnsi" w:eastAsia="Times New Roman" w:hAnsiTheme="minorHAnsi" w:cstheme="minorHAnsi"/>
          <w:sz w:val="24"/>
          <w:szCs w:val="24"/>
        </w:rPr>
        <w:t xml:space="preserve"> </w:t>
      </w:r>
    </w:p>
    <w:p w:rsidR="00CF12AE" w:rsidRPr="004C35D5" w:rsidRDefault="00CF12AE" w:rsidP="00CF12AE">
      <w:pPr>
        <w:spacing w:before="100" w:beforeAutospacing="1" w:after="100" w:afterAutospacing="1" w:line="240" w:lineRule="auto"/>
        <w:ind w:left="2880" w:hanging="1440"/>
        <w:rPr>
          <w:rFonts w:asciiTheme="minorHAnsi" w:eastAsia="Times New Roman" w:hAnsiTheme="minorHAnsi" w:cstheme="minorHAnsi"/>
          <w:sz w:val="24"/>
          <w:szCs w:val="24"/>
        </w:rPr>
      </w:pPr>
      <w:r w:rsidRPr="004C35D5">
        <w:rPr>
          <w:rFonts w:asciiTheme="minorHAnsi" w:eastAsia="Times New Roman" w:hAnsiTheme="minorHAnsi" w:cstheme="minorHAnsi"/>
          <w:b/>
          <w:sz w:val="24"/>
          <w:szCs w:val="24"/>
          <w:u w:val="single"/>
        </w:rPr>
        <w:t>Response</w:t>
      </w:r>
      <w:r w:rsidRPr="004C35D5">
        <w:rPr>
          <w:rFonts w:asciiTheme="minorHAnsi" w:eastAsia="Times New Roman" w:hAnsiTheme="minorHAnsi" w:cstheme="minorHAnsi"/>
          <w:sz w:val="24"/>
          <w:szCs w:val="24"/>
        </w:rPr>
        <w:t>:</w:t>
      </w:r>
      <w:r w:rsidRPr="004C35D5">
        <w:rPr>
          <w:rFonts w:asciiTheme="minorHAnsi" w:eastAsia="Times New Roman" w:hAnsiTheme="minorHAnsi" w:cstheme="minorHAnsi"/>
          <w:sz w:val="24"/>
          <w:szCs w:val="24"/>
        </w:rPr>
        <w:tab/>
      </w:r>
      <w:r w:rsidR="002D1485" w:rsidRPr="004C35D5">
        <w:rPr>
          <w:rFonts w:asciiTheme="minorHAnsi" w:eastAsia="Times New Roman" w:hAnsiTheme="minorHAnsi" w:cstheme="minorHAnsi"/>
          <w:sz w:val="24"/>
          <w:szCs w:val="24"/>
        </w:rPr>
        <w:t xml:space="preserve">Yes, the referenced section should be 3.5.26.J.  RFP Section 4.2.D.C has been revised to reflect this.  Please see Amendment #1. </w:t>
      </w:r>
    </w:p>
    <w:p w:rsidR="00CF12AE" w:rsidRPr="004C35D5" w:rsidRDefault="00CF12AE" w:rsidP="00487E30">
      <w:pPr>
        <w:numPr>
          <w:ilvl w:val="0"/>
          <w:numId w:val="8"/>
        </w:numPr>
        <w:spacing w:before="100" w:beforeAutospacing="1" w:after="100" w:afterAutospacing="1" w:line="240" w:lineRule="auto"/>
        <w:ind w:left="1440" w:hanging="720"/>
        <w:contextualSpacing/>
        <w:rPr>
          <w:rFonts w:asciiTheme="minorHAnsi" w:eastAsia="Times New Roman" w:hAnsiTheme="minorHAnsi" w:cstheme="minorHAnsi"/>
          <w:sz w:val="24"/>
          <w:szCs w:val="24"/>
        </w:rPr>
      </w:pPr>
      <w:r w:rsidRPr="004C35D5">
        <w:rPr>
          <w:rFonts w:asciiTheme="minorHAnsi" w:eastAsia="Times New Roman" w:hAnsiTheme="minorHAnsi" w:cstheme="minorHAnsi"/>
          <w:b/>
          <w:sz w:val="24"/>
          <w:szCs w:val="24"/>
          <w:u w:val="single"/>
        </w:rPr>
        <w:t>Question</w:t>
      </w:r>
      <w:r w:rsidRPr="004C35D5">
        <w:rPr>
          <w:rFonts w:asciiTheme="minorHAnsi" w:eastAsia="Times New Roman" w:hAnsiTheme="minorHAnsi" w:cstheme="minorHAnsi"/>
          <w:sz w:val="24"/>
          <w:szCs w:val="24"/>
        </w:rPr>
        <w:t>:</w:t>
      </w:r>
      <w:r w:rsidRPr="004C35D5">
        <w:rPr>
          <w:rFonts w:asciiTheme="minorHAnsi" w:eastAsia="Times New Roman" w:hAnsiTheme="minorHAnsi" w:cstheme="minorHAnsi"/>
          <w:sz w:val="24"/>
          <w:szCs w:val="24"/>
        </w:rPr>
        <w:tab/>
      </w:r>
      <w:r w:rsidR="00FA0AFD" w:rsidRPr="004C35D5">
        <w:rPr>
          <w:rFonts w:asciiTheme="minorHAnsi" w:eastAsia="Times New Roman" w:hAnsiTheme="minorHAnsi" w:cstheme="minorHAnsi"/>
          <w:sz w:val="24"/>
          <w:szCs w:val="24"/>
        </w:rPr>
        <w:t>RFP states: “….the Contractor shall: 1, implement its transition plan to ensure</w:t>
      </w:r>
    </w:p>
    <w:p w:rsidR="00FA0AFD" w:rsidRPr="004C35D5" w:rsidRDefault="00FA0AFD" w:rsidP="00FA0AFD">
      <w:pPr>
        <w:spacing w:before="100" w:beforeAutospacing="1" w:after="100" w:afterAutospacing="1" w:line="240" w:lineRule="auto"/>
        <w:ind w:left="2880"/>
        <w:contextualSpacing/>
        <w:rPr>
          <w:rFonts w:asciiTheme="minorHAnsi" w:eastAsia="Times New Roman" w:hAnsiTheme="minorHAnsi" w:cstheme="minorHAnsi"/>
          <w:sz w:val="24"/>
          <w:szCs w:val="24"/>
        </w:rPr>
      </w:pPr>
      <w:r w:rsidRPr="004C35D5">
        <w:rPr>
          <w:rFonts w:asciiTheme="minorHAnsi" w:eastAsia="Times New Roman" w:hAnsiTheme="minorHAnsi" w:cstheme="minorHAnsi"/>
          <w:sz w:val="24"/>
          <w:szCs w:val="24"/>
        </w:rPr>
        <w:t>Implementation of all payment processing functions within ninety (90) calendar days after the contract start date. The Contractor shall implement the transition milestone within the number of days specified in Section 3.5, Reports.” The list of deliverables in section 3.5 does not list a Transition in Plan, just two Transition Plans due in advance of the Transition Out. Does the State have an existing Transition In Plan that we are required to use, or are we required to produce the Transition In Plan? If we</w:t>
      </w:r>
      <w:r w:rsidR="00DF33D4" w:rsidRPr="004C35D5">
        <w:rPr>
          <w:rFonts w:asciiTheme="minorHAnsi" w:eastAsia="Times New Roman" w:hAnsiTheme="minorHAnsi" w:cstheme="minorHAnsi"/>
          <w:sz w:val="24"/>
          <w:szCs w:val="24"/>
        </w:rPr>
        <w:t xml:space="preserve"> are required to produce the Plan, when is it due to the State? (RFP Section 3.7, p 79)</w:t>
      </w:r>
    </w:p>
    <w:p w:rsidR="00CF12AE" w:rsidRPr="004C35D5" w:rsidRDefault="00CF12AE" w:rsidP="00CF12AE">
      <w:pPr>
        <w:spacing w:before="100" w:beforeAutospacing="1" w:after="100" w:afterAutospacing="1" w:line="240" w:lineRule="auto"/>
        <w:ind w:left="1440"/>
        <w:contextualSpacing/>
        <w:rPr>
          <w:rFonts w:asciiTheme="minorHAnsi" w:eastAsia="Times New Roman" w:hAnsiTheme="minorHAnsi" w:cstheme="minorHAnsi"/>
          <w:sz w:val="24"/>
          <w:szCs w:val="24"/>
        </w:rPr>
      </w:pPr>
    </w:p>
    <w:p w:rsidR="00246607" w:rsidRPr="004C35D5" w:rsidRDefault="00CF12AE" w:rsidP="00246607">
      <w:pPr>
        <w:spacing w:before="100" w:beforeAutospacing="1" w:after="100" w:afterAutospacing="1" w:line="240" w:lineRule="auto"/>
        <w:ind w:left="2880" w:hanging="1440"/>
        <w:rPr>
          <w:rFonts w:asciiTheme="minorHAnsi" w:eastAsia="Times New Roman" w:hAnsiTheme="minorHAnsi" w:cstheme="minorHAnsi"/>
          <w:sz w:val="24"/>
          <w:szCs w:val="24"/>
        </w:rPr>
      </w:pPr>
      <w:r w:rsidRPr="004C35D5">
        <w:rPr>
          <w:rFonts w:asciiTheme="minorHAnsi" w:eastAsia="Times New Roman" w:hAnsiTheme="minorHAnsi" w:cstheme="minorHAnsi"/>
          <w:b/>
          <w:sz w:val="24"/>
          <w:szCs w:val="24"/>
          <w:u w:val="single"/>
        </w:rPr>
        <w:t>Response</w:t>
      </w:r>
      <w:r w:rsidRPr="004C35D5">
        <w:rPr>
          <w:rFonts w:asciiTheme="minorHAnsi" w:eastAsia="Times New Roman" w:hAnsiTheme="minorHAnsi" w:cstheme="minorHAnsi"/>
          <w:sz w:val="24"/>
          <w:szCs w:val="24"/>
        </w:rPr>
        <w:t>:</w:t>
      </w:r>
      <w:r w:rsidR="00DF33D4" w:rsidRPr="004C35D5">
        <w:rPr>
          <w:rFonts w:asciiTheme="minorHAnsi" w:eastAsia="Times New Roman" w:hAnsiTheme="minorHAnsi" w:cstheme="minorHAnsi"/>
          <w:sz w:val="24"/>
          <w:szCs w:val="24"/>
        </w:rPr>
        <w:tab/>
      </w:r>
      <w:r w:rsidR="00847CAA" w:rsidRPr="004C35D5">
        <w:rPr>
          <w:rFonts w:asciiTheme="minorHAnsi" w:eastAsia="Times New Roman" w:hAnsiTheme="minorHAnsi" w:cstheme="minorHAnsi"/>
          <w:sz w:val="24"/>
          <w:szCs w:val="24"/>
        </w:rPr>
        <w:t>Offerors are required to develop a Transition-In Plan and submit it with their proposals</w:t>
      </w:r>
      <w:r w:rsidR="00DF33D4" w:rsidRPr="004C35D5">
        <w:rPr>
          <w:rFonts w:asciiTheme="minorHAnsi" w:eastAsia="Times New Roman" w:hAnsiTheme="minorHAnsi" w:cstheme="minorHAnsi"/>
          <w:sz w:val="24"/>
          <w:szCs w:val="24"/>
        </w:rPr>
        <w:t xml:space="preserve">. </w:t>
      </w:r>
      <w:r w:rsidR="00246607" w:rsidRPr="004C35D5">
        <w:rPr>
          <w:rFonts w:asciiTheme="minorHAnsi" w:eastAsia="Times New Roman" w:hAnsiTheme="minorHAnsi" w:cstheme="minorHAnsi"/>
          <w:sz w:val="24"/>
          <w:szCs w:val="24"/>
        </w:rPr>
        <w:t>(See Amendment #1)</w:t>
      </w:r>
    </w:p>
    <w:p w:rsidR="00CF12AE" w:rsidRPr="004C35D5" w:rsidRDefault="00CF12AE" w:rsidP="00487E30">
      <w:pPr>
        <w:numPr>
          <w:ilvl w:val="0"/>
          <w:numId w:val="8"/>
        </w:numPr>
        <w:spacing w:before="100" w:beforeAutospacing="1" w:after="100" w:afterAutospacing="1" w:line="240" w:lineRule="auto"/>
        <w:ind w:left="2880" w:hanging="2160"/>
        <w:contextualSpacing/>
        <w:rPr>
          <w:rFonts w:asciiTheme="minorHAnsi" w:eastAsia="Times New Roman" w:hAnsiTheme="minorHAnsi" w:cstheme="minorHAnsi"/>
          <w:sz w:val="24"/>
          <w:szCs w:val="24"/>
        </w:rPr>
      </w:pPr>
      <w:r w:rsidRPr="004C35D5">
        <w:rPr>
          <w:rFonts w:asciiTheme="minorHAnsi" w:eastAsia="Times New Roman" w:hAnsiTheme="minorHAnsi" w:cstheme="minorHAnsi"/>
          <w:b/>
          <w:sz w:val="24"/>
          <w:szCs w:val="24"/>
          <w:u w:val="single"/>
        </w:rPr>
        <w:t>Question:</w:t>
      </w:r>
      <w:r w:rsidRPr="004C35D5">
        <w:rPr>
          <w:rFonts w:asciiTheme="minorHAnsi" w:eastAsia="Times New Roman" w:hAnsiTheme="minorHAnsi" w:cstheme="minorHAnsi"/>
          <w:b/>
          <w:sz w:val="24"/>
          <w:szCs w:val="24"/>
        </w:rPr>
        <w:tab/>
      </w:r>
      <w:r w:rsidR="00DF33D4" w:rsidRPr="004C35D5">
        <w:rPr>
          <w:rFonts w:asciiTheme="minorHAnsi" w:eastAsia="Times New Roman" w:hAnsiTheme="minorHAnsi" w:cstheme="minorHAnsi"/>
          <w:sz w:val="24"/>
          <w:szCs w:val="24"/>
        </w:rPr>
        <w:t>In order to have accurate and consistent pricing, the following corrections are</w:t>
      </w:r>
    </w:p>
    <w:p w:rsidR="00DF33D4" w:rsidRPr="004C35D5" w:rsidRDefault="00DF33D4" w:rsidP="00DF33D4">
      <w:pPr>
        <w:spacing w:before="100" w:beforeAutospacing="1" w:after="100" w:afterAutospacing="1" w:line="240" w:lineRule="auto"/>
        <w:ind w:left="2880"/>
        <w:contextualSpacing/>
        <w:rPr>
          <w:rFonts w:asciiTheme="minorHAnsi" w:eastAsia="Times New Roman" w:hAnsiTheme="minorHAnsi" w:cstheme="minorHAnsi"/>
          <w:sz w:val="24"/>
          <w:szCs w:val="24"/>
        </w:rPr>
      </w:pPr>
      <w:r w:rsidRPr="004C35D5">
        <w:rPr>
          <w:rFonts w:asciiTheme="minorHAnsi" w:eastAsia="Times New Roman" w:hAnsiTheme="minorHAnsi" w:cstheme="minorHAnsi"/>
          <w:sz w:val="24"/>
          <w:szCs w:val="24"/>
        </w:rPr>
        <w:t>Requesting on the Excel pricing template. The formula for total maximum contract amount in cell L43 on the “Year 1” tab and the “2-Year OPT” tab should be corrected to include I40 instead of J40. The hourly rates on the “2-Year OPT” tab in cells H36, H37, and H38 should be unprotected to allow entry. Section III total price column (cells I36, I37, and I38) on the “2-Year OPT” tab should include a formula to calculate the totals. (Attachment A-Pricing Proposal)</w:t>
      </w:r>
    </w:p>
    <w:p w:rsidR="00CF12AE" w:rsidRPr="004C35D5" w:rsidRDefault="00CF12AE" w:rsidP="00CF12AE">
      <w:pPr>
        <w:spacing w:before="100" w:beforeAutospacing="1" w:after="100" w:afterAutospacing="1" w:line="240" w:lineRule="auto"/>
        <w:ind w:left="1440" w:hanging="720"/>
        <w:contextualSpacing/>
        <w:rPr>
          <w:rFonts w:asciiTheme="minorHAnsi" w:eastAsia="Times New Roman" w:hAnsiTheme="minorHAnsi" w:cstheme="minorHAnsi"/>
          <w:b/>
          <w:sz w:val="24"/>
          <w:szCs w:val="24"/>
        </w:rPr>
      </w:pPr>
    </w:p>
    <w:p w:rsidR="00CF12AE" w:rsidRPr="004C35D5" w:rsidRDefault="00CF12AE" w:rsidP="00F64A38">
      <w:pPr>
        <w:spacing w:before="100" w:beforeAutospacing="1" w:after="100" w:afterAutospacing="1" w:line="240" w:lineRule="auto"/>
        <w:ind w:left="2880" w:hanging="1440"/>
        <w:rPr>
          <w:rFonts w:asciiTheme="minorHAnsi" w:eastAsia="Times New Roman" w:hAnsiTheme="minorHAnsi" w:cstheme="minorHAnsi"/>
          <w:sz w:val="24"/>
          <w:szCs w:val="24"/>
          <w:u w:val="single"/>
        </w:rPr>
      </w:pPr>
      <w:r w:rsidRPr="004C35D5">
        <w:rPr>
          <w:rFonts w:asciiTheme="minorHAnsi" w:eastAsia="Times New Roman" w:hAnsiTheme="minorHAnsi" w:cstheme="minorHAnsi"/>
          <w:b/>
          <w:sz w:val="24"/>
          <w:szCs w:val="24"/>
          <w:u w:val="single"/>
        </w:rPr>
        <w:t>Response</w:t>
      </w:r>
      <w:r w:rsidR="00DF33D4" w:rsidRPr="004C35D5">
        <w:rPr>
          <w:rFonts w:asciiTheme="minorHAnsi" w:eastAsia="Times New Roman" w:hAnsiTheme="minorHAnsi" w:cstheme="minorHAnsi"/>
          <w:b/>
          <w:sz w:val="24"/>
          <w:szCs w:val="24"/>
          <w:u w:val="single"/>
        </w:rPr>
        <w:t>:</w:t>
      </w:r>
      <w:r w:rsidR="00DF33D4" w:rsidRPr="004C35D5">
        <w:rPr>
          <w:rFonts w:asciiTheme="minorHAnsi" w:eastAsia="Times New Roman" w:hAnsiTheme="minorHAnsi" w:cstheme="minorHAnsi"/>
          <w:sz w:val="24"/>
          <w:szCs w:val="24"/>
        </w:rPr>
        <w:tab/>
      </w:r>
      <w:r w:rsidR="00F11A14" w:rsidRPr="004C35D5">
        <w:rPr>
          <w:rFonts w:asciiTheme="minorHAnsi" w:eastAsia="Times New Roman" w:hAnsiTheme="minorHAnsi" w:cstheme="minorHAnsi"/>
          <w:sz w:val="24"/>
          <w:szCs w:val="24"/>
        </w:rPr>
        <w:t xml:space="preserve">Revised Attachment A – Pricing Proposal </w:t>
      </w:r>
      <w:r w:rsidR="002D1485" w:rsidRPr="004C35D5">
        <w:rPr>
          <w:rFonts w:asciiTheme="minorHAnsi" w:eastAsia="Times New Roman" w:hAnsiTheme="minorHAnsi" w:cstheme="minorHAnsi"/>
          <w:sz w:val="24"/>
          <w:szCs w:val="24"/>
        </w:rPr>
        <w:t xml:space="preserve">has been revised.  </w:t>
      </w:r>
      <w:r w:rsidR="00DF33D4" w:rsidRPr="004C35D5">
        <w:rPr>
          <w:rFonts w:asciiTheme="minorHAnsi" w:eastAsia="Times New Roman" w:hAnsiTheme="minorHAnsi" w:cstheme="minorHAnsi"/>
          <w:sz w:val="24"/>
          <w:szCs w:val="24"/>
        </w:rPr>
        <w:t>(See Amendment #1)</w:t>
      </w:r>
      <w:r w:rsidR="00DF33D4" w:rsidRPr="004C35D5">
        <w:rPr>
          <w:rFonts w:asciiTheme="minorHAnsi" w:eastAsia="Times New Roman" w:hAnsiTheme="minorHAnsi" w:cstheme="minorHAnsi"/>
          <w:sz w:val="24"/>
          <w:szCs w:val="24"/>
        </w:rPr>
        <w:tab/>
      </w:r>
    </w:p>
    <w:sectPr w:rsidR="00CF12AE" w:rsidRPr="004C35D5" w:rsidSect="000529EA">
      <w:headerReference w:type="default" r:id="rId8"/>
      <w:footerReference w:type="default" r:id="rId9"/>
      <w:headerReference w:type="first" r:id="rId10"/>
      <w:pgSz w:w="12240" w:h="15840"/>
      <w:pgMar w:top="632" w:right="720" w:bottom="720" w:left="720" w:header="720" w:footer="44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1CD8" w:rsidRDefault="00321CD8" w:rsidP="00D75799">
      <w:pPr>
        <w:spacing w:after="0" w:line="240" w:lineRule="auto"/>
      </w:pPr>
      <w:r>
        <w:separator/>
      </w:r>
    </w:p>
  </w:endnote>
  <w:endnote w:type="continuationSeparator" w:id="1">
    <w:p w:rsidR="00321CD8" w:rsidRDefault="00321CD8" w:rsidP="00D757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F63" w:rsidRDefault="0086233C" w:rsidP="00B7177E">
    <w:pPr>
      <w:pStyle w:val="Footer"/>
      <w:tabs>
        <w:tab w:val="clear" w:pos="4680"/>
        <w:tab w:val="clear" w:pos="9360"/>
      </w:tabs>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7.8pt;height:27.55pt">
          <v:imagedata r:id="rId1" o:title="DHR_Ltterhead_Footer"/>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1CD8" w:rsidRDefault="00321CD8" w:rsidP="00D75799">
      <w:pPr>
        <w:spacing w:after="0" w:line="240" w:lineRule="auto"/>
      </w:pPr>
      <w:r>
        <w:separator/>
      </w:r>
    </w:p>
  </w:footnote>
  <w:footnote w:type="continuationSeparator" w:id="1">
    <w:p w:rsidR="00321CD8" w:rsidRDefault="00321CD8" w:rsidP="00D757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F63" w:rsidRPr="00D75799" w:rsidRDefault="00202F63" w:rsidP="00B7177E">
    <w:pPr>
      <w:pStyle w:val="Header"/>
      <w:tabs>
        <w:tab w:val="clear" w:pos="4680"/>
        <w:tab w:val="clear" w:pos="9360"/>
      </w:tabs>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F63" w:rsidRDefault="00872C4C">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35.3pt;height:31.95pt">
          <v:imagedata r:id="rId1" o:title="DHR_Ltterhead_HEADER"/>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B2544"/>
    <w:multiLevelType w:val="hybridMultilevel"/>
    <w:tmpl w:val="B32E82D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15A3813"/>
    <w:multiLevelType w:val="hybridMultilevel"/>
    <w:tmpl w:val="F2CE620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2EC62074"/>
    <w:multiLevelType w:val="hybridMultilevel"/>
    <w:tmpl w:val="8A24048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34637756"/>
    <w:multiLevelType w:val="hybridMultilevel"/>
    <w:tmpl w:val="2A8A3FC4"/>
    <w:lvl w:ilvl="0" w:tplc="EDBCE63A">
      <w:start w:val="1"/>
      <w:numFmt w:val="decimal"/>
      <w:lvlText w:val="%1."/>
      <w:lvlJc w:val="left"/>
      <w:pPr>
        <w:tabs>
          <w:tab w:val="num" w:pos="3240"/>
        </w:tabs>
        <w:ind w:left="3456" w:hanging="576"/>
      </w:pPr>
      <w:rPr>
        <w:rFonts w:ascii="Calibri" w:hAnsi="Calibri" w:cs="Calibri" w:hint="default"/>
        <w:b/>
        <w:color w:val="auto"/>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nsid w:val="3EBA35B5"/>
    <w:multiLevelType w:val="hybridMultilevel"/>
    <w:tmpl w:val="2554553E"/>
    <w:lvl w:ilvl="0" w:tplc="A0101E80">
      <w:start w:val="48"/>
      <w:numFmt w:val="decimal"/>
      <w:lvlText w:val="%1."/>
      <w:lvlJc w:val="left"/>
      <w:pPr>
        <w:tabs>
          <w:tab w:val="num" w:pos="720"/>
        </w:tabs>
        <w:ind w:left="936" w:hanging="576"/>
      </w:pPr>
      <w:rPr>
        <w:rFonts w:ascii="Calibri" w:hAnsi="Calibri" w:cs="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523BFE"/>
    <w:multiLevelType w:val="hybridMultilevel"/>
    <w:tmpl w:val="B19AEAC2"/>
    <w:lvl w:ilvl="0" w:tplc="FD320290">
      <w:start w:val="36"/>
      <w:numFmt w:val="decimal"/>
      <w:lvlText w:val="%1."/>
      <w:lvlJc w:val="left"/>
      <w:pPr>
        <w:tabs>
          <w:tab w:val="num" w:pos="720"/>
        </w:tabs>
        <w:ind w:left="936" w:hanging="576"/>
      </w:pPr>
      <w:rPr>
        <w:rFonts w:ascii="Calibri" w:hAnsi="Calibri" w:cs="Calibri"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2856E1"/>
    <w:multiLevelType w:val="hybridMultilevel"/>
    <w:tmpl w:val="B546AF92"/>
    <w:lvl w:ilvl="0" w:tplc="B1D8322C">
      <w:start w:val="1"/>
      <w:numFmt w:val="decimal"/>
      <w:lvlText w:val="%1."/>
      <w:lvlJc w:val="left"/>
      <w:pPr>
        <w:ind w:left="720" w:hanging="360"/>
      </w:pPr>
      <w:rPr>
        <w:rFonts w:ascii="Calibri" w:hAnsi="Calibri" w:cs="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DD3FDC"/>
    <w:multiLevelType w:val="hybridMultilevel"/>
    <w:tmpl w:val="A3BE2374"/>
    <w:lvl w:ilvl="0" w:tplc="F4364AE4">
      <w:start w:val="3"/>
      <w:numFmt w:val="bullet"/>
      <w:lvlText w:val=""/>
      <w:lvlJc w:val="left"/>
      <w:pPr>
        <w:ind w:left="3240" w:hanging="360"/>
      </w:pPr>
      <w:rPr>
        <w:rFonts w:ascii="Symbol" w:eastAsia="Times New Roman" w:hAnsi="Symbol" w:cs="Calibr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0"/>
  </w:num>
  <w:num w:numId="2">
    <w:abstractNumId w:val="5"/>
  </w:num>
  <w:num w:numId="3">
    <w:abstractNumId w:val="6"/>
  </w:num>
  <w:num w:numId="4">
    <w:abstractNumId w:val="2"/>
  </w:num>
  <w:num w:numId="5">
    <w:abstractNumId w:val="1"/>
  </w:num>
  <w:num w:numId="6">
    <w:abstractNumId w:val="7"/>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20"/>
  <w:drawingGridHorizontalSpacing w:val="110"/>
  <w:drawingGridVerticalSpacing w:val="187"/>
  <w:displayHorizontalDrawingGridEvery w:val="2"/>
  <w:characterSpacingControl w:val="doNotCompress"/>
  <w:hdrShapeDefaults>
    <o:shapedefaults v:ext="edit" spidmax="102402"/>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75799"/>
    <w:rsid w:val="0000778C"/>
    <w:rsid w:val="00017501"/>
    <w:rsid w:val="00026E17"/>
    <w:rsid w:val="000309D7"/>
    <w:rsid w:val="000355F8"/>
    <w:rsid w:val="0004245B"/>
    <w:rsid w:val="000529EA"/>
    <w:rsid w:val="0006113E"/>
    <w:rsid w:val="000815E8"/>
    <w:rsid w:val="00081AB4"/>
    <w:rsid w:val="00087215"/>
    <w:rsid w:val="000964AA"/>
    <w:rsid w:val="000D1BE3"/>
    <w:rsid w:val="000E6742"/>
    <w:rsid w:val="000E6EFE"/>
    <w:rsid w:val="000E7A6D"/>
    <w:rsid w:val="000F6C2A"/>
    <w:rsid w:val="00101770"/>
    <w:rsid w:val="00103F89"/>
    <w:rsid w:val="001102D8"/>
    <w:rsid w:val="00120E29"/>
    <w:rsid w:val="00135D06"/>
    <w:rsid w:val="00136012"/>
    <w:rsid w:val="00144432"/>
    <w:rsid w:val="00160FA5"/>
    <w:rsid w:val="0016231E"/>
    <w:rsid w:val="00187014"/>
    <w:rsid w:val="00194E14"/>
    <w:rsid w:val="001B2FB8"/>
    <w:rsid w:val="001C4C0A"/>
    <w:rsid w:val="001C6BE8"/>
    <w:rsid w:val="001F46EE"/>
    <w:rsid w:val="001F5DAD"/>
    <w:rsid w:val="001F6855"/>
    <w:rsid w:val="002007CC"/>
    <w:rsid w:val="00202F63"/>
    <w:rsid w:val="00217D55"/>
    <w:rsid w:val="002210E4"/>
    <w:rsid w:val="002248C5"/>
    <w:rsid w:val="0022698C"/>
    <w:rsid w:val="002346B0"/>
    <w:rsid w:val="00246607"/>
    <w:rsid w:val="002650F6"/>
    <w:rsid w:val="002677BE"/>
    <w:rsid w:val="002711DA"/>
    <w:rsid w:val="00273D12"/>
    <w:rsid w:val="00277DBE"/>
    <w:rsid w:val="002963BF"/>
    <w:rsid w:val="002B38E2"/>
    <w:rsid w:val="002D1485"/>
    <w:rsid w:val="002D7325"/>
    <w:rsid w:val="002D7C2F"/>
    <w:rsid w:val="002E59AA"/>
    <w:rsid w:val="002E5DA3"/>
    <w:rsid w:val="002F56E6"/>
    <w:rsid w:val="002F7F5C"/>
    <w:rsid w:val="00316DE3"/>
    <w:rsid w:val="00317291"/>
    <w:rsid w:val="00317D11"/>
    <w:rsid w:val="00321CD8"/>
    <w:rsid w:val="003343A0"/>
    <w:rsid w:val="0034722F"/>
    <w:rsid w:val="00365ED1"/>
    <w:rsid w:val="00367DFA"/>
    <w:rsid w:val="00397E96"/>
    <w:rsid w:val="003A457D"/>
    <w:rsid w:val="003A6B35"/>
    <w:rsid w:val="003B6A83"/>
    <w:rsid w:val="003D6A1E"/>
    <w:rsid w:val="003E09B2"/>
    <w:rsid w:val="003F0EDC"/>
    <w:rsid w:val="003F635A"/>
    <w:rsid w:val="004253EE"/>
    <w:rsid w:val="004256F5"/>
    <w:rsid w:val="004263E8"/>
    <w:rsid w:val="00426BE1"/>
    <w:rsid w:val="0043031F"/>
    <w:rsid w:val="00445CA6"/>
    <w:rsid w:val="004561F0"/>
    <w:rsid w:val="00461345"/>
    <w:rsid w:val="00487E30"/>
    <w:rsid w:val="004A179F"/>
    <w:rsid w:val="004A61EC"/>
    <w:rsid w:val="004A7945"/>
    <w:rsid w:val="004B6923"/>
    <w:rsid w:val="004C23FE"/>
    <w:rsid w:val="004C35D5"/>
    <w:rsid w:val="004C4F0A"/>
    <w:rsid w:val="004C7215"/>
    <w:rsid w:val="004D711E"/>
    <w:rsid w:val="004D7B05"/>
    <w:rsid w:val="004F504A"/>
    <w:rsid w:val="004F606D"/>
    <w:rsid w:val="00503154"/>
    <w:rsid w:val="0050740A"/>
    <w:rsid w:val="00515A27"/>
    <w:rsid w:val="00520AC2"/>
    <w:rsid w:val="00531766"/>
    <w:rsid w:val="00533BD3"/>
    <w:rsid w:val="00534B02"/>
    <w:rsid w:val="00535A8D"/>
    <w:rsid w:val="00546550"/>
    <w:rsid w:val="0055549D"/>
    <w:rsid w:val="005600E3"/>
    <w:rsid w:val="00592928"/>
    <w:rsid w:val="005A6EA7"/>
    <w:rsid w:val="005B2BD0"/>
    <w:rsid w:val="005B7012"/>
    <w:rsid w:val="005C3725"/>
    <w:rsid w:val="005D018E"/>
    <w:rsid w:val="005E0344"/>
    <w:rsid w:val="005E238D"/>
    <w:rsid w:val="005F09E9"/>
    <w:rsid w:val="005F3CDE"/>
    <w:rsid w:val="005F6934"/>
    <w:rsid w:val="00603E4A"/>
    <w:rsid w:val="00611C1C"/>
    <w:rsid w:val="0061595D"/>
    <w:rsid w:val="00621295"/>
    <w:rsid w:val="0062231D"/>
    <w:rsid w:val="00627300"/>
    <w:rsid w:val="00637770"/>
    <w:rsid w:val="0064472A"/>
    <w:rsid w:val="00646D31"/>
    <w:rsid w:val="006474E1"/>
    <w:rsid w:val="006645EC"/>
    <w:rsid w:val="006677B0"/>
    <w:rsid w:val="006A63E2"/>
    <w:rsid w:val="006D1027"/>
    <w:rsid w:val="006E0806"/>
    <w:rsid w:val="006E718E"/>
    <w:rsid w:val="006E72F5"/>
    <w:rsid w:val="00705E3D"/>
    <w:rsid w:val="00741622"/>
    <w:rsid w:val="0075421B"/>
    <w:rsid w:val="007558A4"/>
    <w:rsid w:val="007604D8"/>
    <w:rsid w:val="00764AF9"/>
    <w:rsid w:val="00777E08"/>
    <w:rsid w:val="007822FB"/>
    <w:rsid w:val="0078259A"/>
    <w:rsid w:val="00791F07"/>
    <w:rsid w:val="007B5C8F"/>
    <w:rsid w:val="007D4B8F"/>
    <w:rsid w:val="007D7C97"/>
    <w:rsid w:val="007F1FB8"/>
    <w:rsid w:val="007F6FB1"/>
    <w:rsid w:val="00802C08"/>
    <w:rsid w:val="00822182"/>
    <w:rsid w:val="00834A7B"/>
    <w:rsid w:val="00836328"/>
    <w:rsid w:val="00847CAA"/>
    <w:rsid w:val="008510EC"/>
    <w:rsid w:val="008524D1"/>
    <w:rsid w:val="008611B4"/>
    <w:rsid w:val="0086233C"/>
    <w:rsid w:val="0087207B"/>
    <w:rsid w:val="00872C4C"/>
    <w:rsid w:val="00876925"/>
    <w:rsid w:val="008C5A93"/>
    <w:rsid w:val="008D246E"/>
    <w:rsid w:val="008E1CCD"/>
    <w:rsid w:val="008E43B2"/>
    <w:rsid w:val="008E6D46"/>
    <w:rsid w:val="008F6B6A"/>
    <w:rsid w:val="0090617B"/>
    <w:rsid w:val="00915842"/>
    <w:rsid w:val="00952CF4"/>
    <w:rsid w:val="00960E67"/>
    <w:rsid w:val="00964460"/>
    <w:rsid w:val="00973163"/>
    <w:rsid w:val="00983F73"/>
    <w:rsid w:val="00985240"/>
    <w:rsid w:val="00997233"/>
    <w:rsid w:val="00997DB7"/>
    <w:rsid w:val="009A40BA"/>
    <w:rsid w:val="009A7E13"/>
    <w:rsid w:val="009C1761"/>
    <w:rsid w:val="009C5B56"/>
    <w:rsid w:val="009D112F"/>
    <w:rsid w:val="009E3F13"/>
    <w:rsid w:val="009E6DEA"/>
    <w:rsid w:val="009F4233"/>
    <w:rsid w:val="009F71BF"/>
    <w:rsid w:val="00A0494E"/>
    <w:rsid w:val="00A313AF"/>
    <w:rsid w:val="00A33EB0"/>
    <w:rsid w:val="00A52E9C"/>
    <w:rsid w:val="00A530E8"/>
    <w:rsid w:val="00A675D4"/>
    <w:rsid w:val="00A67871"/>
    <w:rsid w:val="00A83E19"/>
    <w:rsid w:val="00A96DE9"/>
    <w:rsid w:val="00A975BE"/>
    <w:rsid w:val="00AA0E8E"/>
    <w:rsid w:val="00AB1F5D"/>
    <w:rsid w:val="00AC31AC"/>
    <w:rsid w:val="00AD6FEC"/>
    <w:rsid w:val="00AE4939"/>
    <w:rsid w:val="00AE711A"/>
    <w:rsid w:val="00AF0F49"/>
    <w:rsid w:val="00AF6D7A"/>
    <w:rsid w:val="00B04AA8"/>
    <w:rsid w:val="00B10BB0"/>
    <w:rsid w:val="00B17A12"/>
    <w:rsid w:val="00B26D67"/>
    <w:rsid w:val="00B34213"/>
    <w:rsid w:val="00B346BE"/>
    <w:rsid w:val="00B500BA"/>
    <w:rsid w:val="00B56CFA"/>
    <w:rsid w:val="00B7004D"/>
    <w:rsid w:val="00B7177E"/>
    <w:rsid w:val="00BA2330"/>
    <w:rsid w:val="00BA5BF9"/>
    <w:rsid w:val="00BB784B"/>
    <w:rsid w:val="00BC41CF"/>
    <w:rsid w:val="00BD102F"/>
    <w:rsid w:val="00BD1B9C"/>
    <w:rsid w:val="00BD7CC3"/>
    <w:rsid w:val="00C02458"/>
    <w:rsid w:val="00C33A1D"/>
    <w:rsid w:val="00C40263"/>
    <w:rsid w:val="00C41780"/>
    <w:rsid w:val="00C42302"/>
    <w:rsid w:val="00C43322"/>
    <w:rsid w:val="00C43858"/>
    <w:rsid w:val="00CA0E8D"/>
    <w:rsid w:val="00CA77A1"/>
    <w:rsid w:val="00CB1020"/>
    <w:rsid w:val="00CC28EC"/>
    <w:rsid w:val="00CD54B7"/>
    <w:rsid w:val="00CE4DFC"/>
    <w:rsid w:val="00CF0041"/>
    <w:rsid w:val="00CF12AE"/>
    <w:rsid w:val="00CF3297"/>
    <w:rsid w:val="00CF54BA"/>
    <w:rsid w:val="00D01BDB"/>
    <w:rsid w:val="00D02040"/>
    <w:rsid w:val="00D16429"/>
    <w:rsid w:val="00D22653"/>
    <w:rsid w:val="00D30C3E"/>
    <w:rsid w:val="00D43699"/>
    <w:rsid w:val="00D54D2E"/>
    <w:rsid w:val="00D5619F"/>
    <w:rsid w:val="00D61E76"/>
    <w:rsid w:val="00D74574"/>
    <w:rsid w:val="00D75799"/>
    <w:rsid w:val="00D954F6"/>
    <w:rsid w:val="00DA5C25"/>
    <w:rsid w:val="00DB26C8"/>
    <w:rsid w:val="00DB3FC9"/>
    <w:rsid w:val="00DB428F"/>
    <w:rsid w:val="00DB4478"/>
    <w:rsid w:val="00DE5D63"/>
    <w:rsid w:val="00DF33D4"/>
    <w:rsid w:val="00DF6D94"/>
    <w:rsid w:val="00E1240C"/>
    <w:rsid w:val="00E145CB"/>
    <w:rsid w:val="00E25A9B"/>
    <w:rsid w:val="00E279A0"/>
    <w:rsid w:val="00E520D8"/>
    <w:rsid w:val="00E54D9B"/>
    <w:rsid w:val="00E55F88"/>
    <w:rsid w:val="00E62115"/>
    <w:rsid w:val="00E74793"/>
    <w:rsid w:val="00E94565"/>
    <w:rsid w:val="00EB57C9"/>
    <w:rsid w:val="00EC4646"/>
    <w:rsid w:val="00ED7E50"/>
    <w:rsid w:val="00EE130F"/>
    <w:rsid w:val="00EE61C4"/>
    <w:rsid w:val="00EF06C8"/>
    <w:rsid w:val="00F040D9"/>
    <w:rsid w:val="00F11A14"/>
    <w:rsid w:val="00F16319"/>
    <w:rsid w:val="00F16716"/>
    <w:rsid w:val="00F222F9"/>
    <w:rsid w:val="00F23530"/>
    <w:rsid w:val="00F26FB8"/>
    <w:rsid w:val="00F3676C"/>
    <w:rsid w:val="00F37819"/>
    <w:rsid w:val="00F378E6"/>
    <w:rsid w:val="00F410E3"/>
    <w:rsid w:val="00F47A91"/>
    <w:rsid w:val="00F52494"/>
    <w:rsid w:val="00F52E83"/>
    <w:rsid w:val="00F62210"/>
    <w:rsid w:val="00F64A38"/>
    <w:rsid w:val="00F71C68"/>
    <w:rsid w:val="00F71EC0"/>
    <w:rsid w:val="00F92D92"/>
    <w:rsid w:val="00F94662"/>
    <w:rsid w:val="00FA0AFD"/>
    <w:rsid w:val="00FA1D04"/>
    <w:rsid w:val="00FB5F87"/>
    <w:rsid w:val="00FC77A5"/>
    <w:rsid w:val="00FD59E4"/>
    <w:rsid w:val="00FE1D6C"/>
    <w:rsid w:val="00FE20B4"/>
    <w:rsid w:val="00FE2124"/>
    <w:rsid w:val="00FF335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FB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799"/>
  </w:style>
  <w:style w:type="paragraph" w:styleId="Footer">
    <w:name w:val="footer"/>
    <w:basedOn w:val="Normal"/>
    <w:link w:val="FooterChar"/>
    <w:uiPriority w:val="99"/>
    <w:unhideWhenUsed/>
    <w:rsid w:val="00D75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799"/>
  </w:style>
  <w:style w:type="paragraph" w:styleId="BalloonText">
    <w:name w:val="Balloon Text"/>
    <w:basedOn w:val="Normal"/>
    <w:link w:val="BalloonTextChar"/>
    <w:uiPriority w:val="99"/>
    <w:semiHidden/>
    <w:unhideWhenUsed/>
    <w:rsid w:val="00D757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5799"/>
    <w:rPr>
      <w:rFonts w:ascii="Tahoma" w:hAnsi="Tahoma" w:cs="Tahoma"/>
      <w:sz w:val="16"/>
      <w:szCs w:val="16"/>
    </w:rPr>
  </w:style>
  <w:style w:type="paragraph" w:styleId="NoSpacing">
    <w:name w:val="No Spacing"/>
    <w:uiPriority w:val="1"/>
    <w:qFormat/>
    <w:rsid w:val="00952CF4"/>
    <w:rPr>
      <w:sz w:val="22"/>
      <w:szCs w:val="22"/>
    </w:rPr>
  </w:style>
  <w:style w:type="paragraph" w:styleId="NormalWeb">
    <w:name w:val="Normal (Web)"/>
    <w:basedOn w:val="Normal"/>
    <w:uiPriority w:val="99"/>
    <w:unhideWhenUsed/>
    <w:rsid w:val="00DA5C25"/>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5B2BD0"/>
  </w:style>
  <w:style w:type="character" w:styleId="CommentReference">
    <w:name w:val="annotation reference"/>
    <w:basedOn w:val="DefaultParagraphFont"/>
    <w:uiPriority w:val="99"/>
    <w:semiHidden/>
    <w:unhideWhenUsed/>
    <w:rsid w:val="005B7012"/>
    <w:rPr>
      <w:sz w:val="16"/>
      <w:szCs w:val="16"/>
    </w:rPr>
  </w:style>
  <w:style w:type="paragraph" w:styleId="CommentText">
    <w:name w:val="annotation text"/>
    <w:basedOn w:val="Normal"/>
    <w:link w:val="CommentTextChar"/>
    <w:uiPriority w:val="99"/>
    <w:semiHidden/>
    <w:unhideWhenUsed/>
    <w:rsid w:val="005B7012"/>
    <w:rPr>
      <w:sz w:val="20"/>
      <w:szCs w:val="20"/>
    </w:rPr>
  </w:style>
  <w:style w:type="character" w:customStyle="1" w:styleId="CommentTextChar">
    <w:name w:val="Comment Text Char"/>
    <w:basedOn w:val="DefaultParagraphFont"/>
    <w:link w:val="CommentText"/>
    <w:uiPriority w:val="99"/>
    <w:semiHidden/>
    <w:rsid w:val="005B7012"/>
  </w:style>
  <w:style w:type="paragraph" w:styleId="CommentSubject">
    <w:name w:val="annotation subject"/>
    <w:basedOn w:val="CommentText"/>
    <w:next w:val="CommentText"/>
    <w:link w:val="CommentSubjectChar"/>
    <w:uiPriority w:val="99"/>
    <w:semiHidden/>
    <w:unhideWhenUsed/>
    <w:rsid w:val="0062231D"/>
    <w:rPr>
      <w:b/>
      <w:bCs/>
    </w:rPr>
  </w:style>
  <w:style w:type="character" w:customStyle="1" w:styleId="CommentSubjectChar">
    <w:name w:val="Comment Subject Char"/>
    <w:basedOn w:val="CommentTextChar"/>
    <w:link w:val="CommentSubject"/>
    <w:uiPriority w:val="99"/>
    <w:semiHidden/>
    <w:rsid w:val="0062231D"/>
    <w:rPr>
      <w:b/>
      <w:bCs/>
    </w:rPr>
  </w:style>
  <w:style w:type="character" w:styleId="Hyperlink">
    <w:name w:val="Hyperlink"/>
    <w:basedOn w:val="DefaultParagraphFont"/>
    <w:uiPriority w:val="99"/>
    <w:semiHidden/>
    <w:unhideWhenUsed/>
    <w:rsid w:val="00316DE3"/>
    <w:rPr>
      <w:color w:val="0000FF"/>
      <w:u w:val="single"/>
    </w:rPr>
  </w:style>
  <w:style w:type="paragraph" w:customStyle="1" w:styleId="BASICTableBody">
    <w:name w:val="BASIC Table Body"/>
    <w:basedOn w:val="Normal"/>
    <w:link w:val="BASICTableBodyChar"/>
    <w:rsid w:val="000E6EFE"/>
    <w:pPr>
      <w:spacing w:before="60" w:after="60" w:line="240" w:lineRule="auto"/>
    </w:pPr>
    <w:rPr>
      <w:rFonts w:ascii="Arial" w:eastAsia="Times New Roman" w:hAnsi="Arial" w:cs="Arial"/>
      <w:szCs w:val="24"/>
    </w:rPr>
  </w:style>
  <w:style w:type="character" w:customStyle="1" w:styleId="BASICTableBodyChar">
    <w:name w:val="BASIC Table Body Char"/>
    <w:basedOn w:val="DefaultParagraphFont"/>
    <w:link w:val="BASICTableBody"/>
    <w:rsid w:val="000E6EFE"/>
    <w:rPr>
      <w:rFonts w:ascii="Arial" w:eastAsia="Times New Roman" w:hAnsi="Arial" w:cs="Arial"/>
      <w:sz w:val="22"/>
      <w:szCs w:val="24"/>
    </w:rPr>
  </w:style>
  <w:style w:type="paragraph" w:styleId="ListParagraph">
    <w:name w:val="List Paragraph"/>
    <w:basedOn w:val="Normal"/>
    <w:uiPriority w:val="34"/>
    <w:qFormat/>
    <w:rsid w:val="006677B0"/>
    <w:pPr>
      <w:ind w:left="720"/>
    </w:pPr>
  </w:style>
</w:styles>
</file>

<file path=word/webSettings.xml><?xml version="1.0" encoding="utf-8"?>
<w:webSettings xmlns:r="http://schemas.openxmlformats.org/officeDocument/2006/relationships" xmlns:w="http://schemas.openxmlformats.org/wordprocessingml/2006/main">
  <w:divs>
    <w:div w:id="42605261">
      <w:bodyDiv w:val="1"/>
      <w:marLeft w:val="0"/>
      <w:marRight w:val="0"/>
      <w:marTop w:val="0"/>
      <w:marBottom w:val="0"/>
      <w:divBdr>
        <w:top w:val="none" w:sz="0" w:space="0" w:color="auto"/>
        <w:left w:val="none" w:sz="0" w:space="0" w:color="auto"/>
        <w:bottom w:val="none" w:sz="0" w:space="0" w:color="auto"/>
        <w:right w:val="none" w:sz="0" w:space="0" w:color="auto"/>
      </w:divBdr>
    </w:div>
    <w:div w:id="108940180">
      <w:bodyDiv w:val="1"/>
      <w:marLeft w:val="0"/>
      <w:marRight w:val="0"/>
      <w:marTop w:val="0"/>
      <w:marBottom w:val="0"/>
      <w:divBdr>
        <w:top w:val="none" w:sz="0" w:space="0" w:color="auto"/>
        <w:left w:val="none" w:sz="0" w:space="0" w:color="auto"/>
        <w:bottom w:val="none" w:sz="0" w:space="0" w:color="auto"/>
        <w:right w:val="none" w:sz="0" w:space="0" w:color="auto"/>
      </w:divBdr>
    </w:div>
    <w:div w:id="179272821">
      <w:bodyDiv w:val="1"/>
      <w:marLeft w:val="0"/>
      <w:marRight w:val="0"/>
      <w:marTop w:val="0"/>
      <w:marBottom w:val="0"/>
      <w:divBdr>
        <w:top w:val="none" w:sz="0" w:space="0" w:color="auto"/>
        <w:left w:val="none" w:sz="0" w:space="0" w:color="auto"/>
        <w:bottom w:val="none" w:sz="0" w:space="0" w:color="auto"/>
        <w:right w:val="none" w:sz="0" w:space="0" w:color="auto"/>
      </w:divBdr>
    </w:div>
    <w:div w:id="352345772">
      <w:bodyDiv w:val="1"/>
      <w:marLeft w:val="0"/>
      <w:marRight w:val="0"/>
      <w:marTop w:val="0"/>
      <w:marBottom w:val="0"/>
      <w:divBdr>
        <w:top w:val="none" w:sz="0" w:space="0" w:color="auto"/>
        <w:left w:val="none" w:sz="0" w:space="0" w:color="auto"/>
        <w:bottom w:val="none" w:sz="0" w:space="0" w:color="auto"/>
        <w:right w:val="none" w:sz="0" w:space="0" w:color="auto"/>
      </w:divBdr>
    </w:div>
    <w:div w:id="502479676">
      <w:bodyDiv w:val="1"/>
      <w:marLeft w:val="0"/>
      <w:marRight w:val="0"/>
      <w:marTop w:val="0"/>
      <w:marBottom w:val="0"/>
      <w:divBdr>
        <w:top w:val="none" w:sz="0" w:space="0" w:color="auto"/>
        <w:left w:val="none" w:sz="0" w:space="0" w:color="auto"/>
        <w:bottom w:val="none" w:sz="0" w:space="0" w:color="auto"/>
        <w:right w:val="none" w:sz="0" w:space="0" w:color="auto"/>
      </w:divBdr>
    </w:div>
    <w:div w:id="560602071">
      <w:bodyDiv w:val="1"/>
      <w:marLeft w:val="0"/>
      <w:marRight w:val="0"/>
      <w:marTop w:val="0"/>
      <w:marBottom w:val="0"/>
      <w:divBdr>
        <w:top w:val="none" w:sz="0" w:space="0" w:color="auto"/>
        <w:left w:val="none" w:sz="0" w:space="0" w:color="auto"/>
        <w:bottom w:val="none" w:sz="0" w:space="0" w:color="auto"/>
        <w:right w:val="none" w:sz="0" w:space="0" w:color="auto"/>
      </w:divBdr>
      <w:divsChild>
        <w:div w:id="106196261">
          <w:marLeft w:val="0"/>
          <w:marRight w:val="0"/>
          <w:marTop w:val="0"/>
          <w:marBottom w:val="0"/>
          <w:divBdr>
            <w:top w:val="none" w:sz="0" w:space="0" w:color="auto"/>
            <w:left w:val="none" w:sz="0" w:space="0" w:color="auto"/>
            <w:bottom w:val="none" w:sz="0" w:space="0" w:color="auto"/>
            <w:right w:val="none" w:sz="0" w:space="0" w:color="auto"/>
          </w:divBdr>
        </w:div>
        <w:div w:id="1239049871">
          <w:marLeft w:val="0"/>
          <w:marRight w:val="0"/>
          <w:marTop w:val="0"/>
          <w:marBottom w:val="0"/>
          <w:divBdr>
            <w:top w:val="none" w:sz="0" w:space="0" w:color="auto"/>
            <w:left w:val="none" w:sz="0" w:space="0" w:color="auto"/>
            <w:bottom w:val="none" w:sz="0" w:space="0" w:color="auto"/>
            <w:right w:val="none" w:sz="0" w:space="0" w:color="auto"/>
          </w:divBdr>
        </w:div>
        <w:div w:id="575553548">
          <w:marLeft w:val="0"/>
          <w:marRight w:val="0"/>
          <w:marTop w:val="0"/>
          <w:marBottom w:val="0"/>
          <w:divBdr>
            <w:top w:val="none" w:sz="0" w:space="0" w:color="auto"/>
            <w:left w:val="none" w:sz="0" w:space="0" w:color="auto"/>
            <w:bottom w:val="none" w:sz="0" w:space="0" w:color="auto"/>
            <w:right w:val="none" w:sz="0" w:space="0" w:color="auto"/>
          </w:divBdr>
        </w:div>
        <w:div w:id="505439276">
          <w:marLeft w:val="0"/>
          <w:marRight w:val="0"/>
          <w:marTop w:val="0"/>
          <w:marBottom w:val="0"/>
          <w:divBdr>
            <w:top w:val="none" w:sz="0" w:space="0" w:color="auto"/>
            <w:left w:val="none" w:sz="0" w:space="0" w:color="auto"/>
            <w:bottom w:val="none" w:sz="0" w:space="0" w:color="auto"/>
            <w:right w:val="none" w:sz="0" w:space="0" w:color="auto"/>
          </w:divBdr>
        </w:div>
        <w:div w:id="357195963">
          <w:marLeft w:val="0"/>
          <w:marRight w:val="0"/>
          <w:marTop w:val="0"/>
          <w:marBottom w:val="0"/>
          <w:divBdr>
            <w:top w:val="none" w:sz="0" w:space="0" w:color="auto"/>
            <w:left w:val="none" w:sz="0" w:space="0" w:color="auto"/>
            <w:bottom w:val="none" w:sz="0" w:space="0" w:color="auto"/>
            <w:right w:val="none" w:sz="0" w:space="0" w:color="auto"/>
          </w:divBdr>
        </w:div>
        <w:div w:id="473530037">
          <w:marLeft w:val="0"/>
          <w:marRight w:val="0"/>
          <w:marTop w:val="0"/>
          <w:marBottom w:val="0"/>
          <w:divBdr>
            <w:top w:val="none" w:sz="0" w:space="0" w:color="auto"/>
            <w:left w:val="none" w:sz="0" w:space="0" w:color="auto"/>
            <w:bottom w:val="none" w:sz="0" w:space="0" w:color="auto"/>
            <w:right w:val="none" w:sz="0" w:space="0" w:color="auto"/>
          </w:divBdr>
        </w:div>
      </w:divsChild>
    </w:div>
    <w:div w:id="632906609">
      <w:bodyDiv w:val="1"/>
      <w:marLeft w:val="0"/>
      <w:marRight w:val="0"/>
      <w:marTop w:val="0"/>
      <w:marBottom w:val="0"/>
      <w:divBdr>
        <w:top w:val="none" w:sz="0" w:space="0" w:color="auto"/>
        <w:left w:val="none" w:sz="0" w:space="0" w:color="auto"/>
        <w:bottom w:val="none" w:sz="0" w:space="0" w:color="auto"/>
        <w:right w:val="none" w:sz="0" w:space="0" w:color="auto"/>
      </w:divBdr>
    </w:div>
    <w:div w:id="795829850">
      <w:bodyDiv w:val="1"/>
      <w:marLeft w:val="0"/>
      <w:marRight w:val="0"/>
      <w:marTop w:val="0"/>
      <w:marBottom w:val="0"/>
      <w:divBdr>
        <w:top w:val="none" w:sz="0" w:space="0" w:color="auto"/>
        <w:left w:val="none" w:sz="0" w:space="0" w:color="auto"/>
        <w:bottom w:val="none" w:sz="0" w:space="0" w:color="auto"/>
        <w:right w:val="none" w:sz="0" w:space="0" w:color="auto"/>
      </w:divBdr>
    </w:div>
    <w:div w:id="1084910765">
      <w:bodyDiv w:val="1"/>
      <w:marLeft w:val="0"/>
      <w:marRight w:val="0"/>
      <w:marTop w:val="0"/>
      <w:marBottom w:val="0"/>
      <w:divBdr>
        <w:top w:val="none" w:sz="0" w:space="0" w:color="auto"/>
        <w:left w:val="none" w:sz="0" w:space="0" w:color="auto"/>
        <w:bottom w:val="none" w:sz="0" w:space="0" w:color="auto"/>
        <w:right w:val="none" w:sz="0" w:space="0" w:color="auto"/>
      </w:divBdr>
    </w:div>
    <w:div w:id="1109810394">
      <w:bodyDiv w:val="1"/>
      <w:marLeft w:val="0"/>
      <w:marRight w:val="0"/>
      <w:marTop w:val="0"/>
      <w:marBottom w:val="0"/>
      <w:divBdr>
        <w:top w:val="none" w:sz="0" w:space="0" w:color="auto"/>
        <w:left w:val="none" w:sz="0" w:space="0" w:color="auto"/>
        <w:bottom w:val="none" w:sz="0" w:space="0" w:color="auto"/>
        <w:right w:val="none" w:sz="0" w:space="0" w:color="auto"/>
      </w:divBdr>
    </w:div>
    <w:div w:id="1135947020">
      <w:bodyDiv w:val="1"/>
      <w:marLeft w:val="0"/>
      <w:marRight w:val="0"/>
      <w:marTop w:val="0"/>
      <w:marBottom w:val="0"/>
      <w:divBdr>
        <w:top w:val="none" w:sz="0" w:space="0" w:color="auto"/>
        <w:left w:val="none" w:sz="0" w:space="0" w:color="auto"/>
        <w:bottom w:val="none" w:sz="0" w:space="0" w:color="auto"/>
        <w:right w:val="none" w:sz="0" w:space="0" w:color="auto"/>
      </w:divBdr>
    </w:div>
    <w:div w:id="1417437349">
      <w:bodyDiv w:val="1"/>
      <w:marLeft w:val="0"/>
      <w:marRight w:val="0"/>
      <w:marTop w:val="0"/>
      <w:marBottom w:val="0"/>
      <w:divBdr>
        <w:top w:val="none" w:sz="0" w:space="0" w:color="auto"/>
        <w:left w:val="none" w:sz="0" w:space="0" w:color="auto"/>
        <w:bottom w:val="none" w:sz="0" w:space="0" w:color="auto"/>
        <w:right w:val="none" w:sz="0" w:space="0" w:color="auto"/>
      </w:divBdr>
    </w:div>
    <w:div w:id="1523284063">
      <w:bodyDiv w:val="1"/>
      <w:marLeft w:val="0"/>
      <w:marRight w:val="0"/>
      <w:marTop w:val="0"/>
      <w:marBottom w:val="0"/>
      <w:divBdr>
        <w:top w:val="none" w:sz="0" w:space="0" w:color="auto"/>
        <w:left w:val="none" w:sz="0" w:space="0" w:color="auto"/>
        <w:bottom w:val="none" w:sz="0" w:space="0" w:color="auto"/>
        <w:right w:val="none" w:sz="0" w:space="0" w:color="auto"/>
      </w:divBdr>
    </w:div>
    <w:div w:id="1696268858">
      <w:bodyDiv w:val="1"/>
      <w:marLeft w:val="0"/>
      <w:marRight w:val="0"/>
      <w:marTop w:val="0"/>
      <w:marBottom w:val="0"/>
      <w:divBdr>
        <w:top w:val="none" w:sz="0" w:space="0" w:color="auto"/>
        <w:left w:val="none" w:sz="0" w:space="0" w:color="auto"/>
        <w:bottom w:val="none" w:sz="0" w:space="0" w:color="auto"/>
        <w:right w:val="none" w:sz="0" w:space="0" w:color="auto"/>
      </w:divBdr>
    </w:div>
    <w:div w:id="185919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A04DE-F057-4408-8F28-0ACB9847E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1214</Words>
  <Characters>6921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GMenegue</dc:creator>
  <cp:lastModifiedBy>haynesj</cp:lastModifiedBy>
  <cp:revision>2</cp:revision>
  <cp:lastPrinted>2013-07-25T18:52:00Z</cp:lastPrinted>
  <dcterms:created xsi:type="dcterms:W3CDTF">2013-07-25T21:21:00Z</dcterms:created>
  <dcterms:modified xsi:type="dcterms:W3CDTF">2013-07-25T21:21:00Z</dcterms:modified>
</cp:coreProperties>
</file>